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黑体" w:hAnsi="黑体" w:eastAsia="黑体"/>
          <w:color w:val="auto"/>
        </w:rPr>
      </w:pPr>
      <w:bookmarkStart w:id="0" w:name="_GoBack"/>
      <w:bookmarkEnd w:id="0"/>
      <w:r>
        <w:rPr>
          <w:rFonts w:ascii="黑体" w:hAnsi="黑体" w:eastAsia="黑体"/>
          <w:color w:val="auto"/>
        </w:rPr>
        <w:t>附件</w:t>
      </w:r>
      <w:r>
        <w:rPr>
          <w:rFonts w:hint="eastAsia" w:ascii="黑体" w:hAnsi="黑体" w:eastAsia="黑体"/>
          <w:color w:val="auto"/>
        </w:rPr>
        <w:t>1：</w:t>
      </w:r>
    </w:p>
    <w:p>
      <w:pPr>
        <w:ind w:firstLine="0" w:firstLineChars="0"/>
        <w:rPr>
          <w:color w:val="auto"/>
        </w:rPr>
      </w:pPr>
    </w:p>
    <w:p>
      <w:pPr>
        <w:ind w:firstLine="0" w:firstLineChars="0"/>
        <w:jc w:val="center"/>
        <w:rPr>
          <w:rFonts w:ascii="方正小标宋简体" w:eastAsia="方正小标宋简体"/>
          <w:color w:val="auto"/>
          <w:sz w:val="44"/>
          <w:szCs w:val="44"/>
        </w:rPr>
      </w:pPr>
      <w:r>
        <w:rPr>
          <w:rFonts w:hint="eastAsia" w:ascii="方正小标宋简体" w:eastAsia="方正小标宋简体"/>
          <w:color w:val="auto"/>
          <w:sz w:val="44"/>
          <w:szCs w:val="44"/>
          <w:lang w:eastAsia="zh-CN"/>
        </w:rPr>
        <w:t>矿业权</w:t>
      </w:r>
      <w:r>
        <w:rPr>
          <w:rFonts w:hint="eastAsia" w:ascii="方正小标宋简体" w:eastAsia="方正小标宋简体"/>
          <w:color w:val="auto"/>
          <w:sz w:val="44"/>
          <w:szCs w:val="44"/>
        </w:rPr>
        <w:t>出让收益评估项目资格审查表</w:t>
      </w:r>
    </w:p>
    <w:p>
      <w:pPr>
        <w:spacing w:line="320" w:lineRule="exact"/>
        <w:ind w:firstLine="0" w:firstLineChars="0"/>
        <w:rPr>
          <w:color w:val="auto"/>
        </w:rPr>
      </w:pPr>
    </w:p>
    <w:tbl>
      <w:tblPr>
        <w:tblStyle w:val="6"/>
        <w:tblW w:w="15632" w:type="dxa"/>
        <w:jc w:val="center"/>
        <w:tblLayout w:type="fixed"/>
        <w:tblCellMar>
          <w:top w:w="0" w:type="dxa"/>
          <w:left w:w="108" w:type="dxa"/>
          <w:bottom w:w="0" w:type="dxa"/>
          <w:right w:w="108" w:type="dxa"/>
        </w:tblCellMar>
      </w:tblPr>
      <w:tblGrid>
        <w:gridCol w:w="731"/>
        <w:gridCol w:w="2252"/>
        <w:gridCol w:w="1522"/>
        <w:gridCol w:w="1718"/>
        <w:gridCol w:w="2008"/>
        <w:gridCol w:w="1125"/>
        <w:gridCol w:w="1098"/>
        <w:gridCol w:w="1094"/>
        <w:gridCol w:w="808"/>
        <w:gridCol w:w="596"/>
        <w:gridCol w:w="596"/>
        <w:gridCol w:w="576"/>
        <w:gridCol w:w="15"/>
        <w:gridCol w:w="1493"/>
      </w:tblGrid>
      <w:tr>
        <w:tblPrEx>
          <w:tblCellMar>
            <w:top w:w="0" w:type="dxa"/>
            <w:left w:w="108" w:type="dxa"/>
            <w:bottom w:w="0" w:type="dxa"/>
            <w:right w:w="108" w:type="dxa"/>
          </w:tblCellMar>
        </w:tblPrEx>
        <w:trPr>
          <w:trHeight w:val="2075"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ind w:firstLine="0" w:firstLineChars="0"/>
              <w:jc w:val="center"/>
              <w:rPr>
                <w:rFonts w:ascii="黑体" w:hAnsi="黑体" w:eastAsia="黑体" w:cs="宋体"/>
                <w:color w:val="auto"/>
                <w:kern w:val="0"/>
                <w:sz w:val="18"/>
                <w:szCs w:val="18"/>
              </w:rPr>
            </w:pPr>
            <w:r>
              <w:rPr>
                <w:rFonts w:hint="eastAsia" w:ascii="黑体" w:hAnsi="黑体" w:eastAsia="黑体" w:cs="宋体"/>
                <w:color w:val="auto"/>
                <w:kern w:val="0"/>
                <w:sz w:val="18"/>
                <w:szCs w:val="18"/>
              </w:rPr>
              <w:t>序号</w:t>
            </w:r>
          </w:p>
        </w:tc>
        <w:tc>
          <w:tcPr>
            <w:tcW w:w="2252"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黑体" w:hAnsi="黑体" w:eastAsia="黑体" w:cs="宋体"/>
                <w:color w:val="auto"/>
                <w:kern w:val="0"/>
                <w:sz w:val="18"/>
                <w:szCs w:val="18"/>
              </w:rPr>
            </w:pPr>
            <w:r>
              <w:rPr>
                <w:rFonts w:hint="eastAsia" w:ascii="黑体" w:hAnsi="黑体" w:eastAsia="黑体" w:cs="宋体"/>
                <w:color w:val="auto"/>
                <w:kern w:val="0"/>
                <w:sz w:val="18"/>
                <w:szCs w:val="18"/>
              </w:rPr>
              <w:t>单位</w:t>
            </w:r>
          </w:p>
        </w:tc>
        <w:tc>
          <w:tcPr>
            <w:tcW w:w="1522"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kern w:val="0"/>
                <w:sz w:val="16"/>
                <w:szCs w:val="16"/>
              </w:rPr>
              <w:t>营业执照、税务登记证、组织机构代码证原件彩色复印件或者三证合一原件彩色复印件，加盖公正，材料清晰</w:t>
            </w:r>
          </w:p>
        </w:tc>
        <w:tc>
          <w:tcPr>
            <w:tcW w:w="171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kern w:val="0"/>
                <w:sz w:val="16"/>
                <w:szCs w:val="16"/>
              </w:rPr>
              <w:t>投标人近三年内参加过的政府采购活动中没有重大违法违规违约记录（加盖公章的投标人无违法记录声明函）</w:t>
            </w:r>
          </w:p>
        </w:tc>
        <w:tc>
          <w:tcPr>
            <w:tcW w:w="20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sz w:val="16"/>
                <w:szCs w:val="16"/>
              </w:rPr>
              <w:t>具有良好的信用。未被列入信用中国网站渠道信用记录失信被执行人、重大税收违法案件当事人名单及中国政府采购网政府采购严重违法失信行为记录名单的供应商。</w:t>
            </w:r>
          </w:p>
        </w:tc>
        <w:tc>
          <w:tcPr>
            <w:tcW w:w="1125"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kern w:val="0"/>
                <w:sz w:val="16"/>
                <w:szCs w:val="16"/>
              </w:rPr>
              <w:t>未被列入中国政府采购网政府采购严重违法失信行为记录名单</w:t>
            </w:r>
          </w:p>
        </w:tc>
        <w:tc>
          <w:tcPr>
            <w:tcW w:w="109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lang w:eastAsia="zh-CN"/>
              </w:rPr>
            </w:pPr>
            <w:r>
              <w:rPr>
                <w:rFonts w:hint="eastAsia" w:ascii="黑体" w:hAnsi="黑体" w:eastAsia="黑体" w:cs="黑体"/>
                <w:color w:val="auto"/>
                <w:kern w:val="0"/>
                <w:sz w:val="16"/>
                <w:szCs w:val="16"/>
                <w:lang w:eastAsia="zh-CN"/>
              </w:rPr>
              <w:t>有探矿权采矿权评估资质</w:t>
            </w:r>
            <w:r>
              <w:rPr>
                <w:rFonts w:hint="eastAsia" w:ascii="黑体" w:hAnsi="黑体" w:eastAsia="黑体" w:cs="黑体"/>
                <w:b w:val="0"/>
                <w:bCs w:val="0"/>
                <w:color w:val="auto"/>
                <w:kern w:val="0"/>
                <w:sz w:val="16"/>
                <w:szCs w:val="16"/>
                <w:lang w:eastAsia="zh-CN"/>
              </w:rPr>
              <w:t>（</w:t>
            </w:r>
            <w:r>
              <w:rPr>
                <w:rFonts w:hint="eastAsia" w:ascii="黑体" w:hAnsi="黑体" w:eastAsia="黑体" w:cs="黑体"/>
                <w:b w:val="0"/>
                <w:bCs w:val="0"/>
                <w:color w:val="auto"/>
                <w:kern w:val="0"/>
                <w:sz w:val="16"/>
                <w:szCs w:val="16"/>
              </w:rPr>
              <w:t>资质证书</w:t>
            </w:r>
            <w:r>
              <w:rPr>
                <w:rFonts w:hint="eastAsia" w:ascii="黑体" w:hAnsi="黑体" w:eastAsia="黑体" w:cs="黑体"/>
                <w:color w:val="auto"/>
                <w:kern w:val="0"/>
                <w:sz w:val="16"/>
                <w:szCs w:val="16"/>
                <w:lang w:eastAsia="zh-CN"/>
              </w:rPr>
              <w:t>原件彩色</w:t>
            </w:r>
            <w:r>
              <w:rPr>
                <w:rFonts w:hint="eastAsia" w:ascii="黑体" w:hAnsi="黑体" w:eastAsia="黑体" w:cs="黑体"/>
                <w:color w:val="auto"/>
                <w:kern w:val="0"/>
                <w:sz w:val="16"/>
                <w:szCs w:val="16"/>
              </w:rPr>
              <w:t>复印件加盖公章）</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kern w:val="0"/>
                <w:sz w:val="16"/>
                <w:szCs w:val="16"/>
              </w:rPr>
              <w:t>报价一览表</w:t>
            </w:r>
          </w:p>
        </w:tc>
        <w:tc>
          <w:tcPr>
            <w:tcW w:w="8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sz w:val="16"/>
                <w:szCs w:val="16"/>
              </w:rPr>
              <w:t>授</w:t>
            </w:r>
            <w:r>
              <w:rPr>
                <w:rFonts w:hint="eastAsia" w:ascii="黑体" w:hAnsi="黑体" w:eastAsia="黑体" w:cs="黑体"/>
                <w:color w:val="auto"/>
                <w:kern w:val="0"/>
                <w:sz w:val="16"/>
                <w:szCs w:val="16"/>
              </w:rPr>
              <w:t>权委托书及授权代表的身份证复印</w:t>
            </w:r>
            <w:r>
              <w:rPr>
                <w:rFonts w:hint="eastAsia" w:ascii="黑体" w:hAnsi="黑体" w:eastAsia="黑体" w:cs="黑体"/>
                <w:color w:val="auto"/>
                <w:sz w:val="16"/>
                <w:szCs w:val="16"/>
              </w:rPr>
              <w:t>件</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sz w:val="16"/>
                <w:szCs w:val="16"/>
              </w:rPr>
              <w:t>报名函</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kern w:val="0"/>
                <w:sz w:val="16"/>
                <w:szCs w:val="16"/>
              </w:rPr>
              <w:t>报价具体测算明细</w:t>
            </w:r>
          </w:p>
        </w:tc>
        <w:tc>
          <w:tcPr>
            <w:tcW w:w="57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kern w:val="0"/>
                <w:sz w:val="16"/>
                <w:szCs w:val="16"/>
              </w:rPr>
              <w:t>报价情况说明</w:t>
            </w:r>
          </w:p>
        </w:tc>
        <w:tc>
          <w:tcPr>
            <w:tcW w:w="1508"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6"/>
                <w:szCs w:val="16"/>
              </w:rPr>
            </w:pPr>
            <w:r>
              <w:rPr>
                <w:rFonts w:hint="eastAsia" w:ascii="黑体" w:hAnsi="黑体" w:eastAsia="黑体" w:cs="黑体"/>
                <w:color w:val="auto"/>
                <w:kern w:val="0"/>
                <w:sz w:val="16"/>
                <w:szCs w:val="16"/>
              </w:rPr>
              <w:t>备注</w:t>
            </w:r>
          </w:p>
        </w:tc>
      </w:tr>
      <w:tr>
        <w:tblPrEx>
          <w:tblCellMar>
            <w:top w:w="0" w:type="dxa"/>
            <w:left w:w="108" w:type="dxa"/>
            <w:bottom w:w="0" w:type="dxa"/>
            <w:right w:w="108" w:type="dxa"/>
          </w:tblCellMar>
        </w:tblPrEx>
        <w:trPr>
          <w:trHeight w:val="270"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北京地博资源科技有限公司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default" w:ascii="黑体" w:hAnsi="黑体" w:eastAsia="仿宋" w:cs="黑体"/>
                <w:color w:val="auto"/>
                <w:kern w:val="0"/>
                <w:sz w:val="18"/>
                <w:szCs w:val="18"/>
                <w:lang w:val="en" w:eastAsia="zh-CN"/>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29680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r>
              <w:rPr>
                <w:rFonts w:hint="eastAsia" w:ascii="黑体" w:hAnsi="黑体" w:eastAsia="黑体" w:cs="黑体"/>
                <w:color w:val="auto"/>
                <w:kern w:val="0"/>
                <w:sz w:val="18"/>
                <w:szCs w:val="18"/>
              </w:rPr>
              <w:t></w:t>
            </w:r>
          </w:p>
        </w:tc>
        <w:tc>
          <w:tcPr>
            <w:tcW w:w="57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508"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450"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山东人和资产评估有限公司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eastAsia="zh-CN"/>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42000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r>
              <w:rPr>
                <w:rFonts w:hint="eastAsia" w:ascii="黑体" w:hAnsi="黑体" w:eastAsia="黑体" w:cs="黑体"/>
                <w:color w:val="auto"/>
                <w:kern w:val="0"/>
                <w:sz w:val="18"/>
                <w:szCs w:val="18"/>
              </w:rPr>
              <w:t></w:t>
            </w:r>
          </w:p>
        </w:tc>
        <w:tc>
          <w:tcPr>
            <w:tcW w:w="57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lang w:val="en-US" w:eastAsia="zh-CN" w:bidi="ar-SA"/>
              </w:rPr>
            </w:pPr>
            <w:r>
              <w:rPr>
                <w:rFonts w:hint="eastAsia" w:ascii="仿宋" w:hAnsi="仿宋" w:eastAsia="仿宋" w:cs="仿宋"/>
                <w:color w:val="auto"/>
                <w:kern w:val="0"/>
                <w:sz w:val="18"/>
                <w:szCs w:val="18"/>
              </w:rPr>
              <w:t>√</w:t>
            </w:r>
          </w:p>
        </w:tc>
        <w:tc>
          <w:tcPr>
            <w:tcW w:w="1508"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435"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北京中宝信资产评估有限公司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47000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r>
              <w:rPr>
                <w:rFonts w:hint="eastAsia" w:ascii="黑体" w:hAnsi="黑体" w:eastAsia="黑体" w:cs="黑体"/>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lang w:val="en-US" w:eastAsia="zh-CN" w:bidi="ar-SA"/>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261"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广实会计师事务所有限公司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eastAsia="zh-CN"/>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48500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val="en-US" w:eastAsia="zh-CN" w:bidi="ar-SA"/>
              </w:rPr>
            </w:pPr>
            <w:r>
              <w:rPr>
                <w:rFonts w:hint="eastAsia" w:ascii="仿宋" w:hAnsi="仿宋" w:eastAsia="仿宋" w:cs="仿宋"/>
                <w:color w:val="auto"/>
                <w:kern w:val="0"/>
                <w:sz w:val="18"/>
                <w:szCs w:val="18"/>
              </w:rPr>
              <w:t>√</w:t>
            </w:r>
            <w:r>
              <w:rPr>
                <w:rFonts w:hint="eastAsia" w:ascii="黑体" w:hAnsi="黑体" w:eastAsia="黑体" w:cs="黑体"/>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lang w:val="en-US" w:eastAsia="zh-CN" w:bidi="ar-SA"/>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261"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single" w:color="auto" w:sz="4" w:space="0"/>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福建凯帅矿业权资产房地产土地评估有限公司</w:t>
            </w:r>
          </w:p>
        </w:tc>
        <w:tc>
          <w:tcPr>
            <w:tcW w:w="1522"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eastAsia="zh-CN"/>
              </w:rPr>
            </w:pPr>
            <w:r>
              <w:rPr>
                <w:rFonts w:hint="eastAsia" w:ascii="仿宋" w:hAnsi="仿宋" w:eastAsia="仿宋" w:cs="仿宋"/>
                <w:color w:val="auto"/>
                <w:kern w:val="0"/>
                <w:sz w:val="18"/>
                <w:szCs w:val="18"/>
              </w:rPr>
              <w:t>√</w:t>
            </w:r>
          </w:p>
        </w:tc>
        <w:tc>
          <w:tcPr>
            <w:tcW w:w="1125"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single" w:color="auto" w:sz="4" w:space="0"/>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54000</w:t>
            </w:r>
          </w:p>
        </w:tc>
        <w:tc>
          <w:tcPr>
            <w:tcW w:w="8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r>
              <w:rPr>
                <w:rFonts w:hint="eastAsia" w:ascii="黑体" w:hAnsi="黑体" w:eastAsia="黑体" w:cs="黑体"/>
                <w:color w:val="auto"/>
                <w:kern w:val="0"/>
                <w:sz w:val="18"/>
                <w:szCs w:val="18"/>
              </w:rPr>
              <w:t></w:t>
            </w:r>
          </w:p>
        </w:tc>
        <w:tc>
          <w:tcPr>
            <w:tcW w:w="591"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261"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single" w:color="auto" w:sz="4" w:space="0"/>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重庆市国能矿业权资产评估有限公司</w:t>
            </w:r>
          </w:p>
        </w:tc>
        <w:tc>
          <w:tcPr>
            <w:tcW w:w="1522"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single" w:color="auto" w:sz="4" w:space="0"/>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54700</w:t>
            </w:r>
          </w:p>
        </w:tc>
        <w:tc>
          <w:tcPr>
            <w:tcW w:w="8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黑体" w:hAnsi="黑体" w:eastAsia="黑体" w:cs="黑体"/>
                <w:color w:val="auto"/>
                <w:kern w:val="0"/>
                <w:sz w:val="18"/>
                <w:szCs w:val="18"/>
              </w:rPr>
              <w:t></w:t>
            </w:r>
            <w:r>
              <w:rPr>
                <w:rFonts w:hint="eastAsia" w:ascii="仿宋" w:hAnsi="仿宋" w:eastAsia="仿宋" w:cs="仿宋"/>
                <w:color w:val="auto"/>
                <w:kern w:val="0"/>
                <w:sz w:val="18"/>
                <w:szCs w:val="18"/>
              </w:rPr>
              <w:t>√</w:t>
            </w:r>
          </w:p>
        </w:tc>
        <w:tc>
          <w:tcPr>
            <w:tcW w:w="591"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261"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德寰（湖北）资产评估咨询有限公司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59000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黑体" w:hAnsi="黑体" w:eastAsia="黑体" w:cs="黑体"/>
                <w:color w:val="auto"/>
                <w:kern w:val="0"/>
                <w:sz w:val="18"/>
                <w:szCs w:val="18"/>
              </w:rPr>
              <w:t></w:t>
            </w: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435"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北京中恒宇矿业咨询事务所（普通合伙）</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60000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435"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安徽兴地矿业权评估咨询有限公司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61800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宋体" w:hAnsi="宋体" w:eastAsia="宋体" w:cs="宋体"/>
                <w:color w:val="auto"/>
                <w:kern w:val="0"/>
                <w:sz w:val="18"/>
                <w:szCs w:val="18"/>
              </w:rPr>
            </w:pPr>
          </w:p>
        </w:tc>
      </w:tr>
      <w:tr>
        <w:tblPrEx>
          <w:tblCellMar>
            <w:top w:w="0" w:type="dxa"/>
            <w:left w:w="108" w:type="dxa"/>
            <w:bottom w:w="0" w:type="dxa"/>
            <w:right w:w="108" w:type="dxa"/>
          </w:tblCellMar>
        </w:tblPrEx>
        <w:trPr>
          <w:trHeight w:val="1247"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山东度量衡资产评估有限公司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64900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247"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深圳长基矿业权评估有限公司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eastAsia="zh-CN"/>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65000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247"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山东天平信有限责任会计师事务所</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74300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247"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湖北天地源房地产资产评估有限公司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eastAsia="zh-CN"/>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75000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247"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浙江之源资产评估有限责任公司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76816</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457"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贵州筑源矿业评估有限责任公司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79000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355"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浙江德联永业房地产土地资产评估有限公司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87500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715"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single" w:color="auto" w:sz="4" w:space="0"/>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四川中天晟源房地产土地资产评估有限公司</w:t>
            </w:r>
          </w:p>
        </w:tc>
        <w:tc>
          <w:tcPr>
            <w:tcW w:w="1522"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eastAsia="zh-CN"/>
              </w:rPr>
            </w:pPr>
            <w:r>
              <w:rPr>
                <w:rFonts w:hint="eastAsia" w:ascii="仿宋" w:hAnsi="仿宋" w:eastAsia="仿宋" w:cs="仿宋"/>
                <w:color w:val="auto"/>
                <w:kern w:val="0"/>
                <w:sz w:val="18"/>
                <w:szCs w:val="18"/>
              </w:rPr>
              <w:t>√</w:t>
            </w:r>
          </w:p>
        </w:tc>
        <w:tc>
          <w:tcPr>
            <w:tcW w:w="20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single" w:color="auto" w:sz="4" w:space="0"/>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90000</w:t>
            </w:r>
          </w:p>
        </w:tc>
        <w:tc>
          <w:tcPr>
            <w:tcW w:w="8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435"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single" w:color="auto" w:sz="4" w:space="0"/>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山东大地矿产资源评估有限公司</w:t>
            </w:r>
          </w:p>
        </w:tc>
        <w:tc>
          <w:tcPr>
            <w:tcW w:w="1522"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single" w:color="auto" w:sz="4" w:space="0"/>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90000</w:t>
            </w:r>
          </w:p>
        </w:tc>
        <w:tc>
          <w:tcPr>
            <w:tcW w:w="808"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single" w:color="auto" w:sz="4" w:space="0"/>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635"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320" w:lineRule="exact"/>
              <w:ind w:left="0" w:leftChars="0" w:firstLine="360" w:firstLineChars="200"/>
              <w:jc w:val="both"/>
              <w:textAlignment w:val="auto"/>
              <w:rPr>
                <w:rFonts w:hint="eastAsia" w:ascii="仿宋_GB2312" w:hAnsi="仿宋_GB2312" w:eastAsia="仿宋_GB2312" w:cs="仿宋_GB2312"/>
                <w:color w:val="auto"/>
                <w:kern w:val="2"/>
                <w:sz w:val="18"/>
                <w:szCs w:val="18"/>
                <w:lang w:val="en-US" w:eastAsia="zh-CN"/>
              </w:rPr>
            </w:pPr>
            <w:r>
              <w:rPr>
                <w:rFonts w:hint="eastAsia" w:ascii="仿宋_GB2312" w:hAnsi="仿宋_GB2312" w:eastAsia="仿宋_GB2312" w:cs="仿宋_GB2312"/>
                <w:color w:val="auto"/>
                <w:kern w:val="2"/>
                <w:sz w:val="18"/>
                <w:szCs w:val="18"/>
                <w:lang w:val="en-US" w:eastAsia="zh-CN"/>
              </w:rPr>
              <w:t>1</w:t>
            </w:r>
          </w:p>
        </w:tc>
        <w:tc>
          <w:tcPr>
            <w:tcW w:w="2252"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陕西旺道矿业权资产评估有限公司</w:t>
            </w:r>
          </w:p>
        </w:tc>
        <w:tc>
          <w:tcPr>
            <w:tcW w:w="1522"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1718"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2008"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1125"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1098"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1094"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w:t>
            </w:r>
          </w:p>
        </w:tc>
        <w:tc>
          <w:tcPr>
            <w:tcW w:w="808"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596"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596"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320" w:lineRule="exact"/>
              <w:ind w:firstLine="0" w:firstLineChars="0"/>
              <w:jc w:val="center"/>
              <w:rPr>
                <w:rFonts w:hint="eastAsia" w:ascii="黑体" w:hAnsi="黑体" w:eastAsia="黑体" w:cs="黑体"/>
                <w:color w:val="auto"/>
                <w:kern w:val="2"/>
                <w:sz w:val="18"/>
                <w:szCs w:val="18"/>
              </w:rPr>
            </w:pPr>
            <w:r>
              <w:rPr>
                <w:rFonts w:hint="eastAsia" w:ascii="黑体" w:hAnsi="黑体" w:eastAsia="黑体" w:cs="黑体"/>
                <w:color w:val="auto"/>
                <w:sz w:val="18"/>
                <w:szCs w:val="18"/>
                <w:vertAlign w:val="baseline"/>
                <w:lang w:val="en-US" w:eastAsia="zh-CN"/>
              </w:rPr>
              <w:t>—</w:t>
            </w:r>
          </w:p>
        </w:tc>
        <w:tc>
          <w:tcPr>
            <w:tcW w:w="1493"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提供材料不符合要求，未按项目名称报价</w:t>
            </w:r>
          </w:p>
        </w:tc>
      </w:tr>
      <w:tr>
        <w:tblPrEx>
          <w:tblCellMar>
            <w:top w:w="0" w:type="dxa"/>
            <w:left w:w="108" w:type="dxa"/>
            <w:bottom w:w="0" w:type="dxa"/>
            <w:right w:w="108" w:type="dxa"/>
          </w:tblCellMar>
        </w:tblPrEx>
        <w:trPr>
          <w:trHeight w:val="437" w:hRule="atLeas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40" w:lineRule="exact"/>
              <w:ind w:left="0" w:leftChars="0" w:firstLine="360" w:firstLineChars="200"/>
              <w:jc w:val="both"/>
              <w:textAlignment w:val="auto"/>
              <w:rPr>
                <w:rFonts w:hint="eastAsia" w:ascii="仿宋_GB2312" w:hAnsi="仿宋_GB2312" w:eastAsia="仿宋_GB2312" w:cs="仿宋_GB2312"/>
                <w:color w:val="auto"/>
                <w:kern w:val="0"/>
                <w:sz w:val="18"/>
                <w:szCs w:val="18"/>
              </w:rPr>
            </w:pPr>
          </w:p>
        </w:tc>
        <w:tc>
          <w:tcPr>
            <w:tcW w:w="2252" w:type="dxa"/>
            <w:tcBorders>
              <w:top w:val="nil"/>
              <w:left w:val="nil"/>
              <w:bottom w:val="single" w:color="auto" w:sz="4" w:space="0"/>
              <w:right w:val="single" w:color="auto" w:sz="4" w:space="0"/>
            </w:tcBorders>
            <w:shd w:val="clear" w:color="auto" w:fill="auto"/>
            <w:vAlign w:val="center"/>
          </w:tcPr>
          <w:p>
            <w:pPr>
              <w:ind w:firstLine="360" w:firstLineChars="200"/>
              <w:jc w:val="center"/>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内蒙古科瑞资产评估有限公司</w:t>
            </w:r>
          </w:p>
        </w:tc>
        <w:tc>
          <w:tcPr>
            <w:tcW w:w="1522"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71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20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lang w:eastAsia="zh-CN"/>
              </w:rPr>
            </w:pPr>
            <w:r>
              <w:rPr>
                <w:rFonts w:hint="eastAsia" w:ascii="仿宋" w:hAnsi="仿宋" w:eastAsia="仿宋" w:cs="仿宋"/>
                <w:color w:val="auto"/>
                <w:kern w:val="0"/>
                <w:sz w:val="18"/>
                <w:szCs w:val="18"/>
              </w:rPr>
              <w:t>√</w:t>
            </w:r>
          </w:p>
        </w:tc>
        <w:tc>
          <w:tcPr>
            <w:tcW w:w="109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1094" w:type="dxa"/>
            <w:tcBorders>
              <w:top w:val="nil"/>
              <w:left w:val="nil"/>
              <w:bottom w:val="single" w:color="auto" w:sz="4" w:space="0"/>
              <w:right w:val="single" w:color="auto" w:sz="4" w:space="0"/>
            </w:tcBorders>
            <w:shd w:val="clear" w:color="auto" w:fill="auto"/>
            <w:vAlign w:val="center"/>
          </w:tcPr>
          <w:p>
            <w:pPr>
              <w:ind w:firstLine="360" w:firstLineChars="20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58500</w:t>
            </w:r>
          </w:p>
        </w:tc>
        <w:tc>
          <w:tcPr>
            <w:tcW w:w="808"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汉仪细圆B5" w:hAnsi="汉仪细圆B5" w:eastAsia="汉仪细圆B5" w:cs="汉仪细圆B5"/>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6" w:type="dxa"/>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hint="eastAsia" w:ascii="黑体" w:hAnsi="黑体" w:eastAsia="黑体" w:cs="黑体"/>
                <w:color w:val="auto"/>
                <w:kern w:val="0"/>
                <w:sz w:val="18"/>
                <w:szCs w:val="18"/>
              </w:rPr>
            </w:pPr>
            <w:r>
              <w:rPr>
                <w:rFonts w:hint="eastAsia" w:ascii="仿宋" w:hAnsi="仿宋" w:eastAsia="仿宋" w:cs="仿宋"/>
                <w:color w:val="auto"/>
                <w:kern w:val="0"/>
                <w:sz w:val="18"/>
                <w:szCs w:val="18"/>
              </w:rPr>
              <w:t>√</w:t>
            </w:r>
          </w:p>
        </w:tc>
        <w:tc>
          <w:tcPr>
            <w:tcW w:w="591" w:type="dxa"/>
            <w:gridSpan w:val="2"/>
            <w:tcBorders>
              <w:top w:val="nil"/>
              <w:left w:val="nil"/>
              <w:bottom w:val="single" w:color="auto" w:sz="4" w:space="0"/>
              <w:right w:val="single" w:color="auto" w:sz="4" w:space="0"/>
            </w:tcBorders>
            <w:shd w:val="clear" w:color="auto" w:fill="auto"/>
            <w:vAlign w:val="center"/>
          </w:tcPr>
          <w:p>
            <w:pPr>
              <w:spacing w:line="240" w:lineRule="exact"/>
              <w:ind w:firstLine="0" w:firstLineChars="0"/>
              <w:jc w:val="center"/>
              <w:rPr>
                <w:rFonts w:ascii="Wingdings" w:hAnsi="Wingdings" w:eastAsia="宋体" w:cs="宋体"/>
                <w:color w:val="auto"/>
                <w:kern w:val="0"/>
                <w:sz w:val="18"/>
                <w:szCs w:val="18"/>
              </w:rPr>
            </w:pPr>
            <w:r>
              <w:rPr>
                <w:rFonts w:hint="eastAsia" w:ascii="仿宋" w:hAnsi="仿宋" w:eastAsia="仿宋" w:cs="仿宋"/>
                <w:color w:val="auto"/>
                <w:kern w:val="0"/>
                <w:sz w:val="18"/>
                <w:szCs w:val="18"/>
              </w:rPr>
              <w:t>√</w:t>
            </w:r>
          </w:p>
        </w:tc>
        <w:tc>
          <w:tcPr>
            <w:tcW w:w="1493" w:type="dxa"/>
            <w:tcBorders>
              <w:top w:val="nil"/>
              <w:left w:val="nil"/>
              <w:bottom w:val="single" w:color="auto" w:sz="4" w:space="0"/>
              <w:right w:val="single" w:color="auto" w:sz="4" w:space="0"/>
            </w:tcBorders>
            <w:shd w:val="clear" w:color="auto" w:fill="auto"/>
            <w:vAlign w:val="center"/>
          </w:tcPr>
          <w:p>
            <w:pPr>
              <w:spacing w:line="320" w:lineRule="exact"/>
              <w:ind w:firstLine="0" w:firstLineChars="0"/>
              <w:jc w:val="both"/>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sz w:val="18"/>
                <w:szCs w:val="18"/>
                <w:vertAlign w:val="baseline"/>
                <w:lang w:val="en-US" w:eastAsia="zh-CN"/>
              </w:rPr>
              <w:t>提供材料不符合要求，无授权委托书</w:t>
            </w:r>
          </w:p>
        </w:tc>
      </w:tr>
    </w:tbl>
    <w:p>
      <w:pPr>
        <w:spacing w:line="500" w:lineRule="exact"/>
        <w:ind w:firstLine="0" w:firstLineChars="0"/>
        <w:rPr>
          <w:rFonts w:hint="eastAsia" w:ascii="黑体" w:hAnsi="黑体" w:eastAsia="黑体"/>
          <w:color w:val="auto"/>
          <w:sz w:val="24"/>
        </w:rPr>
      </w:pPr>
    </w:p>
    <w:p>
      <w:pPr>
        <w:spacing w:line="500" w:lineRule="exact"/>
        <w:ind w:firstLine="0" w:firstLineChars="0"/>
        <w:rPr>
          <w:rFonts w:ascii="黑体" w:hAnsi="黑体" w:eastAsia="黑体"/>
          <w:color w:val="auto"/>
          <w:sz w:val="24"/>
        </w:rPr>
      </w:pPr>
      <w:r>
        <w:rPr>
          <w:rFonts w:hint="eastAsia" w:ascii="黑体" w:hAnsi="黑体" w:eastAsia="黑体"/>
          <w:color w:val="auto"/>
          <w:sz w:val="24"/>
        </w:rPr>
        <w:t>资格审查说明：</w:t>
      </w:r>
    </w:p>
    <w:p>
      <w:pPr>
        <w:pStyle w:val="8"/>
        <w:numPr>
          <w:ilvl w:val="0"/>
          <w:numId w:val="2"/>
        </w:numPr>
        <w:spacing w:line="500" w:lineRule="exact"/>
        <w:ind w:firstLineChars="0"/>
        <w:rPr>
          <w:color w:val="auto"/>
          <w:sz w:val="24"/>
        </w:rPr>
      </w:pPr>
      <w:r>
        <w:rPr>
          <w:rFonts w:hint="eastAsia"/>
          <w:color w:val="auto"/>
          <w:sz w:val="24"/>
          <w:lang w:eastAsia="zh-CN"/>
        </w:rPr>
        <w:t>陕西旺道矿业权资产评估有限公司</w:t>
      </w:r>
      <w:r>
        <w:rPr>
          <w:rFonts w:hint="eastAsia"/>
          <w:color w:val="auto"/>
          <w:sz w:val="24"/>
        </w:rPr>
        <w:t>：</w:t>
      </w:r>
      <w:r>
        <w:rPr>
          <w:rFonts w:hint="eastAsia"/>
          <w:color w:val="auto"/>
          <w:sz w:val="24"/>
          <w:lang w:eastAsia="zh-CN"/>
        </w:rPr>
        <w:t>提供材料</w:t>
      </w:r>
      <w:r>
        <w:rPr>
          <w:rFonts w:hint="eastAsia"/>
          <w:color w:val="auto"/>
          <w:sz w:val="24"/>
        </w:rPr>
        <w:t>未按</w:t>
      </w:r>
      <w:r>
        <w:rPr>
          <w:rFonts w:hint="eastAsia"/>
          <w:color w:val="auto"/>
          <w:sz w:val="24"/>
          <w:lang w:eastAsia="zh-CN"/>
        </w:rPr>
        <w:t>项目名称报价</w:t>
      </w:r>
      <w:r>
        <w:rPr>
          <w:rFonts w:hint="eastAsia"/>
          <w:color w:val="auto"/>
          <w:sz w:val="24"/>
        </w:rPr>
        <w:t>；</w:t>
      </w:r>
    </w:p>
    <w:p>
      <w:pPr>
        <w:pStyle w:val="8"/>
        <w:numPr>
          <w:ilvl w:val="0"/>
          <w:numId w:val="2"/>
        </w:numPr>
        <w:spacing w:line="500" w:lineRule="exact"/>
        <w:ind w:firstLineChars="0"/>
        <w:rPr>
          <w:color w:val="auto"/>
          <w:sz w:val="24"/>
        </w:rPr>
      </w:pPr>
      <w:r>
        <w:rPr>
          <w:rFonts w:hint="eastAsia"/>
          <w:color w:val="auto"/>
          <w:sz w:val="24"/>
          <w:lang w:eastAsia="zh-CN"/>
        </w:rPr>
        <w:t>内蒙古科瑞资产评估有限公司</w:t>
      </w:r>
      <w:r>
        <w:rPr>
          <w:rFonts w:hint="eastAsia"/>
          <w:color w:val="auto"/>
          <w:sz w:val="24"/>
        </w:rPr>
        <w:t>：</w:t>
      </w:r>
      <w:r>
        <w:rPr>
          <w:rFonts w:hint="eastAsia"/>
          <w:color w:val="auto"/>
          <w:sz w:val="24"/>
          <w:lang w:eastAsia="zh-CN"/>
        </w:rPr>
        <w:t>提供材料无授权委托书</w:t>
      </w:r>
      <w:r>
        <w:rPr>
          <w:rFonts w:hint="eastAsia"/>
          <w:color w:val="auto"/>
          <w:sz w:val="24"/>
        </w:rPr>
        <w:t>。</w:t>
      </w:r>
    </w:p>
    <w:p>
      <w:pPr>
        <w:rPr>
          <w:color w:val="auto"/>
        </w:rPr>
      </w:pPr>
    </w:p>
    <w:p>
      <w:pPr>
        <w:pStyle w:val="8"/>
        <w:numPr>
          <w:ilvl w:val="0"/>
          <w:numId w:val="0"/>
        </w:numPr>
        <w:spacing w:line="500" w:lineRule="exact"/>
        <w:jc w:val="both"/>
        <w:rPr>
          <w:rFonts w:hint="eastAsia"/>
          <w:color w:val="auto"/>
          <w:sz w:val="24"/>
        </w:rPr>
      </w:pPr>
    </w:p>
    <w:p>
      <w:pPr>
        <w:pStyle w:val="8"/>
        <w:numPr>
          <w:ilvl w:val="0"/>
          <w:numId w:val="0"/>
        </w:numPr>
        <w:spacing w:line="500" w:lineRule="exact"/>
        <w:jc w:val="both"/>
        <w:rPr>
          <w:rFonts w:hint="eastAsia"/>
          <w:color w:val="auto"/>
          <w:sz w:val="24"/>
        </w:rPr>
        <w:sectPr>
          <w:headerReference r:id="rId5" w:type="default"/>
          <w:footerReference r:id="rId6" w:type="default"/>
          <w:pgSz w:w="16838" w:h="11906" w:orient="landscape"/>
          <w:pgMar w:top="1588" w:right="2098" w:bottom="1474" w:left="1985" w:header="851" w:footer="992" w:gutter="0"/>
          <w:cols w:space="425" w:num="1"/>
          <w:docGrid w:type="lines" w:linePitch="435" w:charSpace="0"/>
        </w:sectPr>
      </w:pPr>
    </w:p>
    <w:p>
      <w:pPr>
        <w:ind w:firstLine="0" w:firstLineChars="0"/>
        <w:rPr>
          <w:rFonts w:ascii="黑体" w:hAnsi="黑体" w:eastAsia="黑体"/>
          <w:color w:val="auto"/>
        </w:rPr>
      </w:pPr>
      <w:r>
        <w:rPr>
          <w:rFonts w:ascii="黑体" w:hAnsi="黑体" w:eastAsia="黑体"/>
          <w:color w:val="auto"/>
        </w:rPr>
        <w:t>附件</w:t>
      </w:r>
      <w:r>
        <w:rPr>
          <w:rFonts w:hint="eastAsia" w:ascii="黑体" w:hAnsi="黑体" w:eastAsia="黑体"/>
          <w:color w:val="auto"/>
        </w:rPr>
        <w:t>2：</w:t>
      </w:r>
    </w:p>
    <w:p>
      <w:pPr>
        <w:spacing w:line="240" w:lineRule="auto"/>
        <w:ind w:firstLine="0" w:firstLineChars="0"/>
        <w:rPr>
          <w:color w:val="auto"/>
        </w:rPr>
      </w:pPr>
    </w:p>
    <w:p>
      <w:pPr>
        <w:spacing w:line="240" w:lineRule="auto"/>
        <w:ind w:firstLine="0" w:firstLineChars="0"/>
        <w:jc w:val="center"/>
        <w:rPr>
          <w:rFonts w:ascii="方正小标宋简体" w:eastAsia="方正小标宋简体"/>
          <w:color w:val="auto"/>
        </w:rPr>
      </w:pPr>
      <w:r>
        <w:rPr>
          <w:rFonts w:hint="eastAsia" w:ascii="方正小标宋简体" w:eastAsia="方正小标宋简体"/>
          <w:color w:val="auto"/>
          <w:lang w:val="en-US" w:eastAsia="zh-CN"/>
        </w:rPr>
        <w:t>01北京地博资源科技有限公司</w:t>
      </w:r>
      <w:r>
        <w:rPr>
          <w:rFonts w:hint="eastAsia" w:ascii="方正小标宋简体" w:eastAsia="方正小标宋简体"/>
          <w:color w:val="auto"/>
        </w:rPr>
        <w:t>报价一览表</w:t>
      </w:r>
    </w:p>
    <w:p>
      <w:pPr>
        <w:spacing w:line="240" w:lineRule="auto"/>
        <w:ind w:firstLine="0" w:firstLineChars="0"/>
        <w:jc w:val="center"/>
        <w:rPr>
          <w:rFonts w:ascii="方正小标宋简体" w:eastAsia="方正小标宋简体"/>
          <w:color w:val="auto"/>
        </w:rPr>
      </w:pPr>
      <w:r>
        <w:rPr>
          <w:color w:val="auto"/>
        </w:rPr>
        <w:drawing>
          <wp:inline distT="0" distB="0" distL="114300" distR="114300">
            <wp:extent cx="4561205" cy="6454775"/>
            <wp:effectExtent l="0" t="0" r="10795" b="3175"/>
            <wp:docPr id="2" name="图片 2" descr="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true"/>
                    </pic:cNvPicPr>
                  </pic:nvPicPr>
                  <pic:blipFill>
                    <a:blip r:embed="rId8"/>
                    <a:stretch>
                      <a:fillRect/>
                    </a:stretch>
                  </pic:blipFill>
                  <pic:spPr>
                    <a:xfrm>
                      <a:off x="0" y="0"/>
                      <a:ext cx="4561205" cy="6454775"/>
                    </a:xfrm>
                    <a:prstGeom prst="rect">
                      <a:avLst/>
                    </a:prstGeom>
                  </pic:spPr>
                </pic:pic>
              </a:graphicData>
            </a:graphic>
          </wp:inline>
        </w:drawing>
      </w:r>
      <w:r>
        <w:rPr>
          <w:rFonts w:ascii="方正小标宋简体" w:eastAsia="方正小标宋简体"/>
          <w:color w:val="auto"/>
        </w:rPr>
        <w:br w:type="page"/>
      </w: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02山东人和资产评估有限公司报价一览表</w:t>
      </w:r>
    </w:p>
    <w:p>
      <w:pPr>
        <w:pStyle w:val="2"/>
        <w:rPr>
          <w:rFonts w:hint="eastAsia"/>
          <w:color w:val="auto"/>
          <w:lang w:val="en-US" w:eastAsia="zh-CN"/>
        </w:rPr>
      </w:pPr>
      <w:r>
        <w:rPr>
          <w:rFonts w:hint="eastAsia"/>
          <w:color w:val="auto"/>
          <w:lang w:val="en-US" w:eastAsia="zh-CN"/>
        </w:rPr>
        <w:drawing>
          <wp:inline distT="0" distB="0" distL="114300" distR="114300">
            <wp:extent cx="4577080" cy="6410325"/>
            <wp:effectExtent l="0" t="0" r="13970" b="9525"/>
            <wp:docPr id="6" name="图片 6" descr="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02"/>
                    <pic:cNvPicPr>
                      <a:picLocks noChangeAspect="true"/>
                    </pic:cNvPicPr>
                  </pic:nvPicPr>
                  <pic:blipFill>
                    <a:blip r:embed="rId9"/>
                    <a:stretch>
                      <a:fillRect/>
                    </a:stretch>
                  </pic:blipFill>
                  <pic:spPr>
                    <a:xfrm>
                      <a:off x="0" y="0"/>
                      <a:ext cx="4577080" cy="641032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03北京中宝信资产评估有限公司</w:t>
      </w:r>
    </w:p>
    <w:p>
      <w:pPr>
        <w:pStyle w:val="2"/>
        <w:rPr>
          <w:rFonts w:hint="eastAsia"/>
          <w:color w:val="auto"/>
          <w:lang w:val="en-US" w:eastAsia="zh-CN"/>
        </w:rPr>
      </w:pPr>
      <w:r>
        <w:rPr>
          <w:rFonts w:hint="eastAsia"/>
          <w:color w:val="auto"/>
          <w:lang w:val="en-US" w:eastAsia="zh-CN"/>
        </w:rPr>
        <w:drawing>
          <wp:inline distT="0" distB="0" distL="114300" distR="114300">
            <wp:extent cx="4433570" cy="6250305"/>
            <wp:effectExtent l="0" t="0" r="5080" b="17145"/>
            <wp:docPr id="7" name="图片 7" descr="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03"/>
                    <pic:cNvPicPr>
                      <a:picLocks noChangeAspect="true"/>
                    </pic:cNvPicPr>
                  </pic:nvPicPr>
                  <pic:blipFill>
                    <a:blip r:embed="rId10"/>
                    <a:stretch>
                      <a:fillRect/>
                    </a:stretch>
                  </pic:blipFill>
                  <pic:spPr>
                    <a:xfrm>
                      <a:off x="0" y="0"/>
                      <a:ext cx="4433570" cy="625030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04广实会计师事务所有限公司报价一览表</w:t>
      </w:r>
    </w:p>
    <w:p>
      <w:pPr>
        <w:pStyle w:val="2"/>
        <w:rPr>
          <w:rFonts w:hint="eastAsia"/>
          <w:color w:val="auto"/>
          <w:lang w:val="en-US" w:eastAsia="zh-CN"/>
        </w:rPr>
      </w:pPr>
      <w:r>
        <w:rPr>
          <w:rFonts w:hint="eastAsia"/>
          <w:color w:val="auto"/>
          <w:lang w:val="en-US" w:eastAsia="zh-CN"/>
        </w:rPr>
        <w:drawing>
          <wp:inline distT="0" distB="0" distL="114300" distR="114300">
            <wp:extent cx="4484370" cy="6423025"/>
            <wp:effectExtent l="0" t="0" r="11430" b="15875"/>
            <wp:docPr id="8" name="图片 8" descr="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04"/>
                    <pic:cNvPicPr>
                      <a:picLocks noChangeAspect="true"/>
                    </pic:cNvPicPr>
                  </pic:nvPicPr>
                  <pic:blipFill>
                    <a:blip r:embed="rId11"/>
                    <a:stretch>
                      <a:fillRect/>
                    </a:stretch>
                  </pic:blipFill>
                  <pic:spPr>
                    <a:xfrm>
                      <a:off x="0" y="0"/>
                      <a:ext cx="4484370" cy="642302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05福建凯帅矿业权资产房地产土地评估有限公司报价一览表</w:t>
      </w:r>
    </w:p>
    <w:p>
      <w:pPr>
        <w:spacing w:line="240" w:lineRule="auto"/>
        <w:rPr>
          <w:rFonts w:hint="eastAsia" w:ascii="黑体" w:hAnsi="黑体" w:eastAsia="黑体" w:cs="黑体"/>
          <w:color w:val="auto"/>
          <w:sz w:val="18"/>
          <w:szCs w:val="18"/>
          <w:vertAlign w:val="baseline"/>
          <w:lang w:val="en-US" w:eastAsia="zh-CN"/>
        </w:rPr>
      </w:pPr>
      <w:r>
        <w:rPr>
          <w:rFonts w:hint="eastAsia" w:ascii="黑体" w:hAnsi="黑体" w:eastAsia="黑体" w:cs="黑体"/>
          <w:color w:val="auto"/>
          <w:sz w:val="18"/>
          <w:szCs w:val="18"/>
          <w:vertAlign w:val="baseline"/>
          <w:lang w:val="en-US" w:eastAsia="zh-CN"/>
        </w:rPr>
        <w:drawing>
          <wp:inline distT="0" distB="0" distL="114300" distR="114300">
            <wp:extent cx="4802505" cy="7023735"/>
            <wp:effectExtent l="0" t="0" r="17145" b="5715"/>
            <wp:docPr id="9" name="图片 9" descr="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05"/>
                    <pic:cNvPicPr>
                      <a:picLocks noChangeAspect="true"/>
                    </pic:cNvPicPr>
                  </pic:nvPicPr>
                  <pic:blipFill>
                    <a:blip r:embed="rId12"/>
                    <a:stretch>
                      <a:fillRect/>
                    </a:stretch>
                  </pic:blipFill>
                  <pic:spPr>
                    <a:xfrm>
                      <a:off x="0" y="0"/>
                      <a:ext cx="4802505" cy="702373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06重庆市国能矿业权资产评估有限公司报价一览表</w:t>
      </w:r>
    </w:p>
    <w:p>
      <w:pPr>
        <w:pStyle w:val="2"/>
        <w:rPr>
          <w:rFonts w:hint="eastAsia" w:ascii="黑体" w:hAnsi="黑体" w:eastAsia="黑体" w:cs="黑体"/>
          <w:color w:val="auto"/>
          <w:sz w:val="18"/>
          <w:szCs w:val="18"/>
          <w:vertAlign w:val="baseline"/>
          <w:lang w:val="en-US" w:eastAsia="zh-CN"/>
        </w:rPr>
      </w:pPr>
      <w:r>
        <w:rPr>
          <w:rFonts w:hint="eastAsia" w:ascii="黑体" w:hAnsi="黑体" w:eastAsia="黑体" w:cs="黑体"/>
          <w:color w:val="auto"/>
          <w:sz w:val="18"/>
          <w:szCs w:val="18"/>
          <w:vertAlign w:val="baseline"/>
          <w:lang w:val="en-US" w:eastAsia="zh-CN"/>
        </w:rPr>
        <w:drawing>
          <wp:inline distT="0" distB="0" distL="114300" distR="114300">
            <wp:extent cx="4615180" cy="6322060"/>
            <wp:effectExtent l="0" t="0" r="13970" b="2540"/>
            <wp:docPr id="10" name="图片 10" descr="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06"/>
                    <pic:cNvPicPr>
                      <a:picLocks noChangeAspect="true"/>
                    </pic:cNvPicPr>
                  </pic:nvPicPr>
                  <pic:blipFill>
                    <a:blip r:embed="rId13"/>
                    <a:stretch>
                      <a:fillRect/>
                    </a:stretch>
                  </pic:blipFill>
                  <pic:spPr>
                    <a:xfrm>
                      <a:off x="0" y="0"/>
                      <a:ext cx="4615180" cy="6322060"/>
                    </a:xfrm>
                    <a:prstGeom prst="rect">
                      <a:avLst/>
                    </a:prstGeom>
                  </pic:spPr>
                </pic:pic>
              </a:graphicData>
            </a:graphic>
          </wp:inline>
        </w:drawing>
      </w:r>
    </w:p>
    <w:p>
      <w:pPr>
        <w:rPr>
          <w:rFonts w:hint="eastAsia"/>
          <w:color w:val="auto"/>
          <w:lang w:val="en-US" w:eastAsia="zh-CN"/>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07德寰（湖北）资产评估咨询有限公司报价一览表</w:t>
      </w:r>
    </w:p>
    <w:p>
      <w:pPr>
        <w:spacing w:line="240" w:lineRule="auto"/>
        <w:rPr>
          <w:rFonts w:hint="eastAsia" w:eastAsia="仿宋_GB2312"/>
          <w:color w:val="auto"/>
          <w:lang w:eastAsia="zh-CN"/>
        </w:rPr>
      </w:pPr>
      <w:r>
        <w:rPr>
          <w:rFonts w:hint="eastAsia" w:eastAsia="仿宋_GB2312"/>
          <w:color w:val="auto"/>
          <w:lang w:eastAsia="zh-CN"/>
        </w:rPr>
        <w:drawing>
          <wp:inline distT="0" distB="0" distL="114300" distR="114300">
            <wp:extent cx="5119370" cy="7411085"/>
            <wp:effectExtent l="0" t="0" r="5080" b="18415"/>
            <wp:docPr id="11" name="图片 11" descr="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07"/>
                    <pic:cNvPicPr>
                      <a:picLocks noChangeAspect="true"/>
                    </pic:cNvPicPr>
                  </pic:nvPicPr>
                  <pic:blipFill>
                    <a:blip r:embed="rId14"/>
                    <a:stretch>
                      <a:fillRect/>
                    </a:stretch>
                  </pic:blipFill>
                  <pic:spPr>
                    <a:xfrm>
                      <a:off x="0" y="0"/>
                      <a:ext cx="5119370" cy="741108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08北京中恒宇矿业咨询事务所（普通合伙）报价一览表</w:t>
      </w:r>
    </w:p>
    <w:p>
      <w:pPr>
        <w:spacing w:line="240" w:lineRule="auto"/>
        <w:ind w:firstLine="0" w:firstLineChars="0"/>
        <w:rPr>
          <w:rFonts w:hint="eastAsia" w:eastAsia="仿宋_GB2312"/>
          <w:color w:val="auto"/>
          <w:lang w:eastAsia="zh-CN"/>
        </w:rPr>
      </w:pPr>
      <w:r>
        <w:rPr>
          <w:rFonts w:hint="eastAsia" w:eastAsia="仿宋_GB2312"/>
          <w:color w:val="auto"/>
          <w:lang w:eastAsia="zh-CN"/>
        </w:rPr>
        <w:drawing>
          <wp:inline distT="0" distB="0" distL="114300" distR="114300">
            <wp:extent cx="5060950" cy="7244715"/>
            <wp:effectExtent l="0" t="0" r="6350" b="13335"/>
            <wp:docPr id="12" name="图片 12" descr="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08"/>
                    <pic:cNvPicPr>
                      <a:picLocks noChangeAspect="true"/>
                    </pic:cNvPicPr>
                  </pic:nvPicPr>
                  <pic:blipFill>
                    <a:blip r:embed="rId15"/>
                    <a:stretch>
                      <a:fillRect/>
                    </a:stretch>
                  </pic:blipFill>
                  <pic:spPr>
                    <a:xfrm>
                      <a:off x="0" y="0"/>
                      <a:ext cx="5060950" cy="724471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09安徽兴地矿业权评估咨询有限公司报价一览表</w:t>
      </w:r>
    </w:p>
    <w:p>
      <w:pPr>
        <w:spacing w:line="240" w:lineRule="auto"/>
        <w:ind w:firstLine="0" w:firstLineChars="0"/>
        <w:jc w:val="center"/>
        <w:rPr>
          <w:rFonts w:hint="eastAsia" w:eastAsia="仿宋_GB2312"/>
          <w:color w:val="auto"/>
          <w:lang w:eastAsia="zh-CN"/>
        </w:rPr>
      </w:pPr>
      <w:r>
        <w:rPr>
          <w:rFonts w:hint="eastAsia" w:eastAsia="仿宋_GB2312"/>
          <w:color w:val="auto"/>
          <w:lang w:eastAsia="zh-CN"/>
        </w:rPr>
        <w:drawing>
          <wp:inline distT="0" distB="0" distL="114300" distR="114300">
            <wp:extent cx="4722495" cy="6908165"/>
            <wp:effectExtent l="0" t="0" r="1905" b="6985"/>
            <wp:docPr id="13" name="图片 13" descr="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09"/>
                    <pic:cNvPicPr>
                      <a:picLocks noChangeAspect="true"/>
                    </pic:cNvPicPr>
                  </pic:nvPicPr>
                  <pic:blipFill>
                    <a:blip r:embed="rId16"/>
                    <a:stretch>
                      <a:fillRect/>
                    </a:stretch>
                  </pic:blipFill>
                  <pic:spPr>
                    <a:xfrm>
                      <a:off x="0" y="0"/>
                      <a:ext cx="4722495" cy="690816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10山东度量衡资产评估有限公司报价一览表</w:t>
      </w:r>
    </w:p>
    <w:p>
      <w:pPr>
        <w:spacing w:line="240" w:lineRule="auto"/>
        <w:ind w:firstLine="0" w:firstLineChars="0"/>
        <w:jc w:val="center"/>
        <w:rPr>
          <w:rFonts w:hint="eastAsia" w:eastAsia="仿宋_GB2312"/>
          <w:color w:val="auto"/>
          <w:lang w:eastAsia="zh-CN"/>
        </w:rPr>
      </w:pPr>
      <w:r>
        <w:rPr>
          <w:rFonts w:hint="eastAsia" w:eastAsia="仿宋_GB2312"/>
          <w:color w:val="auto"/>
          <w:lang w:eastAsia="zh-CN"/>
        </w:rPr>
        <w:drawing>
          <wp:inline distT="0" distB="0" distL="114300" distR="114300">
            <wp:extent cx="4903470" cy="6950710"/>
            <wp:effectExtent l="0" t="0" r="11430" b="2540"/>
            <wp:docPr id="14" name="图片 14" descr="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true"/>
                    </pic:cNvPicPr>
                  </pic:nvPicPr>
                  <pic:blipFill>
                    <a:blip r:embed="rId17"/>
                    <a:stretch>
                      <a:fillRect/>
                    </a:stretch>
                  </pic:blipFill>
                  <pic:spPr>
                    <a:xfrm>
                      <a:off x="0" y="0"/>
                      <a:ext cx="4903470" cy="6950710"/>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11深圳长基矿业权评估有限公司报价一览表</w:t>
      </w:r>
    </w:p>
    <w:p>
      <w:pPr>
        <w:pStyle w:val="2"/>
        <w:rPr>
          <w:rFonts w:hint="eastAsia"/>
          <w:color w:val="auto"/>
          <w:lang w:val="en-US" w:eastAsia="zh-CN"/>
        </w:rPr>
      </w:pPr>
      <w:r>
        <w:rPr>
          <w:rFonts w:hint="eastAsia"/>
          <w:color w:val="auto"/>
          <w:lang w:val="en-US" w:eastAsia="zh-CN"/>
        </w:rPr>
        <w:drawing>
          <wp:inline distT="0" distB="0" distL="114300" distR="114300">
            <wp:extent cx="4443095" cy="6362065"/>
            <wp:effectExtent l="0" t="0" r="14605" b="635"/>
            <wp:docPr id="15" name="图片 15" descr="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true"/>
                    </pic:cNvPicPr>
                  </pic:nvPicPr>
                  <pic:blipFill>
                    <a:blip r:embed="rId18"/>
                    <a:stretch>
                      <a:fillRect/>
                    </a:stretch>
                  </pic:blipFill>
                  <pic:spPr>
                    <a:xfrm>
                      <a:off x="0" y="0"/>
                      <a:ext cx="4443095" cy="6362065"/>
                    </a:xfrm>
                    <a:prstGeom prst="rect">
                      <a:avLst/>
                    </a:prstGeom>
                  </pic:spPr>
                </pic:pic>
              </a:graphicData>
            </a:graphic>
          </wp:inline>
        </w:drawing>
      </w:r>
    </w:p>
    <w:p>
      <w:pPr>
        <w:spacing w:line="240" w:lineRule="auto"/>
        <w:ind w:firstLine="0" w:firstLineChars="0"/>
        <w:jc w:val="center"/>
        <w:rPr>
          <w:color w:val="auto"/>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12山东天平信有限责任会计师事务所报价一览表</w:t>
      </w:r>
    </w:p>
    <w:p>
      <w:pPr>
        <w:spacing w:line="240" w:lineRule="auto"/>
        <w:ind w:firstLine="0" w:firstLineChars="0"/>
        <w:jc w:val="center"/>
        <w:rPr>
          <w:rFonts w:hint="eastAsia" w:ascii="黑体" w:hAnsi="黑体" w:eastAsia="黑体" w:cs="黑体"/>
          <w:color w:val="auto"/>
          <w:sz w:val="18"/>
          <w:szCs w:val="18"/>
          <w:vertAlign w:val="baseline"/>
          <w:lang w:val="en-US" w:eastAsia="zh-CN"/>
        </w:rPr>
      </w:pPr>
      <w:r>
        <w:rPr>
          <w:rFonts w:hint="eastAsia" w:ascii="黑体" w:hAnsi="黑体" w:eastAsia="黑体" w:cs="黑体"/>
          <w:color w:val="auto"/>
          <w:sz w:val="18"/>
          <w:szCs w:val="18"/>
          <w:vertAlign w:val="baseline"/>
          <w:lang w:val="en-US" w:eastAsia="zh-CN"/>
        </w:rPr>
        <w:drawing>
          <wp:inline distT="0" distB="0" distL="114300" distR="114300">
            <wp:extent cx="4572635" cy="6542405"/>
            <wp:effectExtent l="0" t="0" r="18415" b="10795"/>
            <wp:docPr id="16" name="图片 16" descr="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2"/>
                    <pic:cNvPicPr>
                      <a:picLocks noChangeAspect="true"/>
                    </pic:cNvPicPr>
                  </pic:nvPicPr>
                  <pic:blipFill>
                    <a:blip r:embed="rId19"/>
                    <a:stretch>
                      <a:fillRect/>
                    </a:stretch>
                  </pic:blipFill>
                  <pic:spPr>
                    <a:xfrm>
                      <a:off x="0" y="0"/>
                      <a:ext cx="4572635" cy="654240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p>
    <w:p>
      <w:pPr>
        <w:spacing w:line="240" w:lineRule="auto"/>
        <w:ind w:firstLine="0" w:firstLineChars="0"/>
        <w:jc w:val="center"/>
        <w:rPr>
          <w:rFonts w:hint="eastAsia" w:ascii="黑体" w:hAnsi="黑体" w:eastAsia="黑体" w:cs="黑体"/>
          <w:color w:val="auto"/>
          <w:sz w:val="18"/>
          <w:szCs w:val="18"/>
          <w:vertAlign w:val="baseline"/>
          <w:lang w:val="en-US" w:eastAsia="zh-CN"/>
        </w:rPr>
      </w:pPr>
      <w:r>
        <w:rPr>
          <w:rFonts w:hint="eastAsia" w:ascii="方正小标宋简体" w:eastAsia="方正小标宋简体"/>
          <w:color w:val="auto"/>
          <w:lang w:val="en-US" w:eastAsia="zh-CN"/>
        </w:rPr>
        <w:t>13湖北天地源房地产资产评估有限公司报价一览表</w:t>
      </w:r>
      <w:r>
        <w:rPr>
          <w:rFonts w:hint="eastAsia" w:ascii="黑体" w:hAnsi="黑体" w:eastAsia="黑体" w:cs="黑体"/>
          <w:color w:val="auto"/>
          <w:sz w:val="18"/>
          <w:szCs w:val="18"/>
          <w:vertAlign w:val="baseline"/>
          <w:lang w:val="en-US" w:eastAsia="zh-CN"/>
        </w:rPr>
        <w:drawing>
          <wp:inline distT="0" distB="0" distL="114300" distR="114300">
            <wp:extent cx="4999990" cy="7052310"/>
            <wp:effectExtent l="0" t="0" r="10160" b="15240"/>
            <wp:docPr id="17" name="图片 17" descr="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13"/>
                    <pic:cNvPicPr>
                      <a:picLocks noChangeAspect="true"/>
                    </pic:cNvPicPr>
                  </pic:nvPicPr>
                  <pic:blipFill>
                    <a:blip r:embed="rId20"/>
                    <a:stretch>
                      <a:fillRect/>
                    </a:stretch>
                  </pic:blipFill>
                  <pic:spPr>
                    <a:xfrm>
                      <a:off x="0" y="0"/>
                      <a:ext cx="4999990" cy="7052310"/>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14浙江之源资产评估有限责任公司报价一览表</w:t>
      </w:r>
    </w:p>
    <w:p>
      <w:pPr>
        <w:rPr>
          <w:rFonts w:hint="eastAsia" w:ascii="黑体" w:hAnsi="黑体" w:eastAsia="黑体" w:cs="黑体"/>
          <w:color w:val="auto"/>
          <w:sz w:val="18"/>
          <w:szCs w:val="18"/>
          <w:vertAlign w:val="baseline"/>
          <w:lang w:val="en-US" w:eastAsia="zh-CN"/>
        </w:rPr>
      </w:pPr>
      <w:r>
        <w:rPr>
          <w:rFonts w:hint="eastAsia" w:ascii="方正小标宋简体" w:eastAsia="方正小标宋简体"/>
          <w:color w:val="auto"/>
          <w:lang w:val="en-US" w:eastAsia="zh-CN"/>
        </w:rPr>
        <w:drawing>
          <wp:anchor distT="0" distB="0" distL="114300" distR="114300" simplePos="0" relativeHeight="251658240" behindDoc="0" locked="0" layoutInCell="1" allowOverlap="1">
            <wp:simplePos x="0" y="0"/>
            <wp:positionH relativeFrom="column">
              <wp:posOffset>92075</wp:posOffset>
            </wp:positionH>
            <wp:positionV relativeFrom="paragraph">
              <wp:posOffset>401320</wp:posOffset>
            </wp:positionV>
            <wp:extent cx="5539105" cy="7732395"/>
            <wp:effectExtent l="0" t="0" r="4445" b="1905"/>
            <wp:wrapSquare wrapText="bothSides"/>
            <wp:docPr id="18" name="图片 18" descr="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4"/>
                    <pic:cNvPicPr>
                      <a:picLocks noChangeAspect="true"/>
                    </pic:cNvPicPr>
                  </pic:nvPicPr>
                  <pic:blipFill>
                    <a:blip r:embed="rId21"/>
                    <a:stretch>
                      <a:fillRect/>
                    </a:stretch>
                  </pic:blipFill>
                  <pic:spPr>
                    <a:xfrm>
                      <a:off x="0" y="0"/>
                      <a:ext cx="5539105" cy="7732395"/>
                    </a:xfrm>
                    <a:prstGeom prst="rect">
                      <a:avLst/>
                    </a:prstGeom>
                  </pic:spPr>
                </pic:pic>
              </a:graphicData>
            </a:graphic>
          </wp:anchor>
        </w:drawing>
      </w: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15贵州筑源矿业评估有限责任公司报价一览表</w:t>
      </w:r>
    </w:p>
    <w:p>
      <w:pPr>
        <w:pStyle w:val="2"/>
        <w:rPr>
          <w:rFonts w:hint="eastAsia" w:ascii="黑体" w:hAnsi="黑体" w:eastAsia="黑体" w:cs="黑体"/>
          <w:color w:val="auto"/>
          <w:sz w:val="18"/>
          <w:szCs w:val="18"/>
          <w:vertAlign w:val="baseline"/>
          <w:lang w:val="en-US" w:eastAsia="zh-CN"/>
        </w:rPr>
      </w:pPr>
      <w:r>
        <w:rPr>
          <w:rFonts w:hint="eastAsia" w:ascii="黑体" w:hAnsi="黑体" w:eastAsia="黑体" w:cs="黑体"/>
          <w:color w:val="auto"/>
          <w:sz w:val="18"/>
          <w:szCs w:val="18"/>
          <w:vertAlign w:val="baseline"/>
          <w:lang w:val="en-US" w:eastAsia="zh-CN"/>
        </w:rPr>
        <w:drawing>
          <wp:inline distT="0" distB="0" distL="114300" distR="114300">
            <wp:extent cx="4542155" cy="6483985"/>
            <wp:effectExtent l="0" t="0" r="10795" b="12065"/>
            <wp:docPr id="19" name="图片 19" descr="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15"/>
                    <pic:cNvPicPr>
                      <a:picLocks noChangeAspect="true"/>
                    </pic:cNvPicPr>
                  </pic:nvPicPr>
                  <pic:blipFill>
                    <a:blip r:embed="rId22"/>
                    <a:stretch>
                      <a:fillRect/>
                    </a:stretch>
                  </pic:blipFill>
                  <pic:spPr>
                    <a:xfrm>
                      <a:off x="0" y="0"/>
                      <a:ext cx="4542155" cy="648398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16浙江德联永业房地产土地资产评估有限公司报价一览表</w:t>
      </w:r>
    </w:p>
    <w:p>
      <w:pPr>
        <w:spacing w:line="240" w:lineRule="auto"/>
        <w:rPr>
          <w:rFonts w:hint="eastAsia" w:ascii="黑体" w:hAnsi="黑体" w:eastAsia="黑体" w:cs="黑体"/>
          <w:color w:val="auto"/>
          <w:sz w:val="18"/>
          <w:szCs w:val="18"/>
          <w:vertAlign w:val="baseline"/>
          <w:lang w:val="en-US" w:eastAsia="zh-CN"/>
        </w:rPr>
      </w:pPr>
      <w:r>
        <w:rPr>
          <w:rFonts w:hint="eastAsia" w:ascii="黑体" w:hAnsi="黑体" w:eastAsia="黑体" w:cs="黑体"/>
          <w:color w:val="auto"/>
          <w:sz w:val="18"/>
          <w:szCs w:val="18"/>
          <w:vertAlign w:val="baseline"/>
          <w:lang w:val="en-US" w:eastAsia="zh-CN"/>
        </w:rPr>
        <w:drawing>
          <wp:inline distT="0" distB="0" distL="114300" distR="114300">
            <wp:extent cx="4775200" cy="6802755"/>
            <wp:effectExtent l="0" t="0" r="6350" b="17145"/>
            <wp:docPr id="20" name="图片 20" descr="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16"/>
                    <pic:cNvPicPr>
                      <a:picLocks noChangeAspect="true"/>
                    </pic:cNvPicPr>
                  </pic:nvPicPr>
                  <pic:blipFill>
                    <a:blip r:embed="rId23"/>
                    <a:stretch>
                      <a:fillRect/>
                    </a:stretch>
                  </pic:blipFill>
                  <pic:spPr>
                    <a:xfrm>
                      <a:off x="0" y="0"/>
                      <a:ext cx="4775200" cy="6802755"/>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17四川中天晟源房地产土地资产评估有限公司报价一览表</w:t>
      </w:r>
    </w:p>
    <w:p>
      <w:pPr>
        <w:pStyle w:val="2"/>
        <w:rPr>
          <w:rFonts w:hint="eastAsia" w:ascii="黑体" w:hAnsi="黑体" w:eastAsia="黑体" w:cs="黑体"/>
          <w:color w:val="auto"/>
          <w:sz w:val="18"/>
          <w:szCs w:val="18"/>
          <w:vertAlign w:val="baseline"/>
          <w:lang w:val="en-US" w:eastAsia="zh-CN"/>
        </w:rPr>
      </w:pPr>
      <w:r>
        <w:rPr>
          <w:rFonts w:hint="eastAsia" w:ascii="黑体" w:hAnsi="黑体" w:eastAsia="黑体" w:cs="黑体"/>
          <w:color w:val="auto"/>
          <w:sz w:val="18"/>
          <w:szCs w:val="18"/>
          <w:vertAlign w:val="baseline"/>
          <w:lang w:val="en-US" w:eastAsia="zh-CN"/>
        </w:rPr>
        <w:drawing>
          <wp:inline distT="0" distB="0" distL="114300" distR="114300">
            <wp:extent cx="4349115" cy="6201410"/>
            <wp:effectExtent l="0" t="0" r="13335" b="8890"/>
            <wp:docPr id="22" name="图片 22" descr="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7"/>
                    <pic:cNvPicPr>
                      <a:picLocks noChangeAspect="true"/>
                    </pic:cNvPicPr>
                  </pic:nvPicPr>
                  <pic:blipFill>
                    <a:blip r:embed="rId24"/>
                    <a:stretch>
                      <a:fillRect/>
                    </a:stretch>
                  </pic:blipFill>
                  <pic:spPr>
                    <a:xfrm>
                      <a:off x="0" y="0"/>
                      <a:ext cx="4349115" cy="6201410"/>
                    </a:xfrm>
                    <a:prstGeom prst="rect">
                      <a:avLst/>
                    </a:prstGeom>
                  </pic:spPr>
                </pic:pic>
              </a:graphicData>
            </a:graphic>
          </wp:inline>
        </w:drawing>
      </w:r>
    </w:p>
    <w:p>
      <w:pPr>
        <w:spacing w:line="240" w:lineRule="auto"/>
        <w:ind w:firstLine="0" w:firstLineChars="0"/>
        <w:jc w:val="center"/>
        <w:rPr>
          <w:rFonts w:hint="eastAsia" w:ascii="方正小标宋简体" w:eastAsia="方正小标宋简体"/>
          <w:color w:val="auto"/>
          <w:lang w:val="en-US" w:eastAsia="zh-CN"/>
        </w:rPr>
      </w:pPr>
    </w:p>
    <w:p>
      <w:pPr>
        <w:spacing w:line="240" w:lineRule="auto"/>
        <w:ind w:firstLine="0" w:firstLineChars="0"/>
        <w:jc w:val="center"/>
        <w:rPr>
          <w:rFonts w:hint="eastAsia" w:ascii="方正小标宋简体" w:eastAsia="方正小标宋简体"/>
          <w:color w:val="auto"/>
          <w:lang w:val="en-US" w:eastAsia="zh-CN"/>
        </w:rPr>
      </w:pPr>
      <w:r>
        <w:rPr>
          <w:rFonts w:hint="eastAsia" w:ascii="方正小标宋简体" w:eastAsia="方正小标宋简体"/>
          <w:color w:val="auto"/>
          <w:lang w:val="en-US" w:eastAsia="zh-CN"/>
        </w:rPr>
        <w:t>18山东大地矿产资源评估有限公司报价一览表</w:t>
      </w:r>
    </w:p>
    <w:p>
      <w:pPr>
        <w:rPr>
          <w:color w:val="auto"/>
        </w:rPr>
      </w:pPr>
      <w:r>
        <w:rPr>
          <w:rFonts w:hint="eastAsia" w:ascii="方正小标宋简体" w:eastAsia="方正小标宋简体"/>
          <w:color w:val="auto"/>
          <w:lang w:eastAsia="zh-CN"/>
        </w:rPr>
        <w:drawing>
          <wp:anchor distT="0" distB="0" distL="114300" distR="114300" simplePos="0" relativeHeight="251659264" behindDoc="0" locked="0" layoutInCell="1" allowOverlap="1">
            <wp:simplePos x="0" y="0"/>
            <wp:positionH relativeFrom="column">
              <wp:posOffset>739775</wp:posOffset>
            </wp:positionH>
            <wp:positionV relativeFrom="paragraph">
              <wp:posOffset>201295</wp:posOffset>
            </wp:positionV>
            <wp:extent cx="4364990" cy="6330315"/>
            <wp:effectExtent l="0" t="0" r="16510" b="13335"/>
            <wp:wrapSquare wrapText="bothSides"/>
            <wp:docPr id="23" name="图片 23" descr="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18"/>
                    <pic:cNvPicPr>
                      <a:picLocks noChangeAspect="true"/>
                    </pic:cNvPicPr>
                  </pic:nvPicPr>
                  <pic:blipFill>
                    <a:blip r:embed="rId25"/>
                    <a:stretch>
                      <a:fillRect/>
                    </a:stretch>
                  </pic:blipFill>
                  <pic:spPr>
                    <a:xfrm>
                      <a:off x="0" y="0"/>
                      <a:ext cx="4364990" cy="6330315"/>
                    </a:xfrm>
                    <a:prstGeom prst="rect">
                      <a:avLst/>
                    </a:prstGeom>
                  </pic:spPr>
                </pic:pic>
              </a:graphicData>
            </a:graphic>
          </wp:anchor>
        </w:drawing>
      </w:r>
    </w:p>
    <w:p>
      <w:pPr>
        <w:spacing w:line="240" w:lineRule="auto"/>
        <w:ind w:left="0" w:leftChars="0" w:firstLine="0" w:firstLineChars="0"/>
        <w:rPr>
          <w:color w:val="auto"/>
        </w:rPr>
      </w:pPr>
    </w:p>
    <w:sectPr>
      <w:pgSz w:w="11906" w:h="16838"/>
      <w:pgMar w:top="2098" w:right="1474" w:bottom="1985" w:left="1588"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汉仪细圆B5">
    <w:altName w:val="仿宋_GB2312"/>
    <w:panose1 w:val="02010600000101010101"/>
    <w:charset w:val="88"/>
    <w:family w:val="auto"/>
    <w:pitch w:val="default"/>
    <w:sig w:usb0="00000000" w:usb1="00000000" w:usb2="00000002" w:usb3="00000000" w:csb0="00100000" w:csb1="00000000"/>
  </w:font>
  <w:font w:name="Nimbus Roman No9 L">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1B71F6"/>
    <w:multiLevelType w:val="singleLevel"/>
    <w:tmpl w:val="FE1B71F6"/>
    <w:lvl w:ilvl="0" w:tentative="0">
      <w:start w:val="1"/>
      <w:numFmt w:val="decimal"/>
      <w:suff w:val="nothing"/>
      <w:lvlText w:val="%1．"/>
      <w:lvlJc w:val="left"/>
      <w:pPr>
        <w:ind w:left="0" w:firstLine="400"/>
      </w:pPr>
      <w:rPr>
        <w:rFonts w:hint="default"/>
      </w:rPr>
    </w:lvl>
  </w:abstractNum>
  <w:abstractNum w:abstractNumId="1">
    <w:nsid w:val="5C323633"/>
    <w:multiLevelType w:val="multilevel"/>
    <w:tmpl w:val="5C323633"/>
    <w:lvl w:ilvl="0" w:tentative="0">
      <w:start w:val="1"/>
      <w:numFmt w:val="decimal"/>
      <w:lvlText w:val="%1."/>
      <w:lvlJc w:val="left"/>
      <w:pPr>
        <w:ind w:left="990" w:hanging="36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true"/>
  <w:bordersDoNotSurroundFooter w:val="true"/>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EA2"/>
    <w:rsid w:val="000222F7"/>
    <w:rsid w:val="000E23C7"/>
    <w:rsid w:val="001C427A"/>
    <w:rsid w:val="001E46A3"/>
    <w:rsid w:val="002304CB"/>
    <w:rsid w:val="002B0773"/>
    <w:rsid w:val="00305A3C"/>
    <w:rsid w:val="003C7AE2"/>
    <w:rsid w:val="003D6F88"/>
    <w:rsid w:val="003E6DB8"/>
    <w:rsid w:val="004008FA"/>
    <w:rsid w:val="00412C07"/>
    <w:rsid w:val="00425753"/>
    <w:rsid w:val="00435BF6"/>
    <w:rsid w:val="004F07D6"/>
    <w:rsid w:val="00575BAA"/>
    <w:rsid w:val="006649EC"/>
    <w:rsid w:val="00684D08"/>
    <w:rsid w:val="007E2014"/>
    <w:rsid w:val="008401F9"/>
    <w:rsid w:val="008463CB"/>
    <w:rsid w:val="00874475"/>
    <w:rsid w:val="008B6714"/>
    <w:rsid w:val="008C5488"/>
    <w:rsid w:val="008F1F55"/>
    <w:rsid w:val="00932772"/>
    <w:rsid w:val="009848E4"/>
    <w:rsid w:val="009C02F6"/>
    <w:rsid w:val="009F232B"/>
    <w:rsid w:val="00A03EA2"/>
    <w:rsid w:val="00A90208"/>
    <w:rsid w:val="00B55BC8"/>
    <w:rsid w:val="00B6625F"/>
    <w:rsid w:val="00B80EE5"/>
    <w:rsid w:val="00C72C03"/>
    <w:rsid w:val="00CA745F"/>
    <w:rsid w:val="00D073B3"/>
    <w:rsid w:val="00D169C8"/>
    <w:rsid w:val="00D52FBA"/>
    <w:rsid w:val="00D959AA"/>
    <w:rsid w:val="00DE5127"/>
    <w:rsid w:val="00E9192D"/>
    <w:rsid w:val="00EB47EE"/>
    <w:rsid w:val="00F003A2"/>
    <w:rsid w:val="1FDDB2FA"/>
    <w:rsid w:val="3FEF1CCD"/>
    <w:rsid w:val="5B77DBC3"/>
    <w:rsid w:val="B7A7CFF6"/>
    <w:rsid w:val="BEDB6F73"/>
    <w:rsid w:val="EDEF2C39"/>
    <w:rsid w:val="FFF317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58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pPr>
      <w:spacing w:line="240" w:lineRule="auto"/>
    </w:pPr>
    <w:rPr>
      <w:sz w:val="18"/>
      <w:szCs w:val="18"/>
    </w:rPr>
  </w:style>
  <w:style w:type="paragraph" w:styleId="4">
    <w:name w:val="footer"/>
    <w:basedOn w:val="1"/>
    <w:link w:val="10"/>
    <w:unhideWhenUsed/>
    <w:qFormat/>
    <w:uiPriority w:val="99"/>
    <w:pPr>
      <w:tabs>
        <w:tab w:val="center" w:pos="4153"/>
        <w:tab w:val="right" w:pos="8306"/>
      </w:tabs>
      <w:snapToGrid w:val="0"/>
      <w:spacing w:line="240" w:lineRule="atLeast"/>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8">
    <w:name w:val="List Paragraph"/>
    <w:basedOn w:val="1"/>
    <w:qFormat/>
    <w:uiPriority w:val="34"/>
    <w:pPr>
      <w:ind w:firstLine="420"/>
    </w:pPr>
  </w:style>
  <w:style w:type="character" w:customStyle="1" w:styleId="9">
    <w:name w:val="页眉 Char"/>
    <w:basedOn w:val="7"/>
    <w:link w:val="5"/>
    <w:qFormat/>
    <w:uiPriority w:val="99"/>
    <w:rPr>
      <w:sz w:val="18"/>
      <w:szCs w:val="18"/>
    </w:rPr>
  </w:style>
  <w:style w:type="character" w:customStyle="1" w:styleId="10">
    <w:name w:val="页脚 Char"/>
    <w:basedOn w:val="7"/>
    <w:link w:val="4"/>
    <w:qFormat/>
    <w:uiPriority w:val="99"/>
    <w:rPr>
      <w:sz w:val="18"/>
      <w:szCs w:val="18"/>
    </w:rPr>
  </w:style>
  <w:style w:type="character" w:customStyle="1" w:styleId="11">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239</Words>
  <Characters>1368</Characters>
  <Lines>11</Lines>
  <Paragraphs>3</Paragraphs>
  <TotalTime>28</TotalTime>
  <ScaleCrop>false</ScaleCrop>
  <LinksUpToDate>false</LinksUpToDate>
  <CharactersWithSpaces>1604</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2021-09-16T09:51:00Z</dcterms:created>
  <dc:creator>未定义</dc:creator>
  <cp:lastModifiedBy>greatwall</cp:lastModifiedBy>
  <dcterms:modified xsi:type="dcterms:W3CDTF">2022-06-08T18:36:59Z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