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52"/>
          <w:szCs w:val="52"/>
        </w:rPr>
      </w:pPr>
      <w:r>
        <w:rPr>
          <w:rFonts w:hint="eastAsia"/>
          <w:b/>
          <w:sz w:val="52"/>
          <w:szCs w:val="52"/>
        </w:rPr>
        <w:t>海南省传统村落和历史街区保护与活化利用十四五专项规划</w:t>
      </w:r>
    </w:p>
    <w:p>
      <w:pPr>
        <w:spacing w:line="360" w:lineRule="auto"/>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outlineLvl w:val="0"/>
        <w:rPr>
          <w:b/>
          <w:sz w:val="28"/>
          <w:szCs w:val="28"/>
        </w:rPr>
      </w:pPr>
      <w:bookmarkStart w:id="0" w:name="_Toc432598937"/>
      <w:bookmarkStart w:id="1" w:name="_Toc424915672"/>
      <w:bookmarkStart w:id="2" w:name="_Toc424913974"/>
      <w:bookmarkStart w:id="3" w:name="_Toc9718"/>
      <w:bookmarkStart w:id="4" w:name="_Toc11998"/>
      <w:bookmarkStart w:id="5" w:name="_Toc425497734"/>
      <w:bookmarkStart w:id="6" w:name="_Toc425405951"/>
      <w:r>
        <w:rPr>
          <w:b/>
          <w:kern w:val="0"/>
          <w:sz w:val="72"/>
        </w:rPr>
        <w:t>竞争性磋商文件</w:t>
      </w:r>
      <w:bookmarkEnd w:id="0"/>
      <w:bookmarkEnd w:id="1"/>
      <w:bookmarkEnd w:id="2"/>
      <w:bookmarkEnd w:id="3"/>
      <w:bookmarkEnd w:id="4"/>
      <w:bookmarkEnd w:id="5"/>
      <w:bookmarkEnd w:id="6"/>
    </w:p>
    <w:p>
      <w:pPr>
        <w:spacing w:line="360" w:lineRule="auto"/>
        <w:rPr>
          <w:b/>
          <w:bCs/>
          <w:sz w:val="28"/>
          <w:szCs w:val="28"/>
        </w:rPr>
      </w:pPr>
    </w:p>
    <w:p>
      <w:pPr>
        <w:spacing w:line="360" w:lineRule="auto"/>
        <w:rPr>
          <w:b/>
          <w:bCs/>
          <w:sz w:val="28"/>
          <w:szCs w:val="28"/>
        </w:rPr>
      </w:pPr>
    </w:p>
    <w:p>
      <w:pPr>
        <w:spacing w:line="360" w:lineRule="auto"/>
        <w:rPr>
          <w:b/>
          <w:bCs/>
          <w:sz w:val="28"/>
          <w:szCs w:val="28"/>
        </w:rPr>
      </w:pPr>
    </w:p>
    <w:p>
      <w:pPr>
        <w:spacing w:line="360" w:lineRule="auto"/>
        <w:rPr>
          <w:b/>
          <w:bCs/>
          <w:sz w:val="28"/>
          <w:szCs w:val="28"/>
        </w:rPr>
      </w:pPr>
    </w:p>
    <w:p>
      <w:pPr>
        <w:spacing w:line="360" w:lineRule="auto"/>
        <w:ind w:firstLine="531" w:firstLineChars="147"/>
        <w:jc w:val="left"/>
        <w:rPr>
          <w:b/>
          <w:sz w:val="36"/>
          <w:szCs w:val="36"/>
        </w:rPr>
      </w:pPr>
      <w:r>
        <w:rPr>
          <w:b/>
          <w:sz w:val="36"/>
          <w:szCs w:val="36"/>
        </w:rPr>
        <w:t>项目编号：</w:t>
      </w:r>
      <w:r>
        <w:rPr>
          <w:rFonts w:hint="eastAsia"/>
          <w:b/>
          <w:sz w:val="36"/>
          <w:szCs w:val="36"/>
        </w:rPr>
        <w:t>HXSJ-CG-2021012</w:t>
      </w:r>
    </w:p>
    <w:p>
      <w:pPr>
        <w:spacing w:line="360" w:lineRule="auto"/>
        <w:ind w:firstLine="531" w:firstLineChars="147"/>
        <w:jc w:val="left"/>
        <w:rPr>
          <w:b/>
          <w:sz w:val="36"/>
          <w:szCs w:val="36"/>
        </w:rPr>
      </w:pPr>
    </w:p>
    <w:p>
      <w:pPr>
        <w:spacing w:line="360" w:lineRule="auto"/>
        <w:ind w:firstLine="560" w:firstLineChars="155"/>
        <w:rPr>
          <w:b/>
          <w:bCs/>
          <w:sz w:val="36"/>
          <w:szCs w:val="36"/>
        </w:rPr>
      </w:pPr>
      <w:r>
        <w:rPr>
          <w:b/>
          <w:sz w:val="36"/>
          <w:szCs w:val="36"/>
        </w:rPr>
        <w:t>采 购 人：</w:t>
      </w:r>
      <w:r>
        <w:rPr>
          <w:rFonts w:hint="eastAsia"/>
          <w:b/>
          <w:sz w:val="36"/>
          <w:szCs w:val="36"/>
        </w:rPr>
        <w:t>海南省自然资源和规划厅</w:t>
      </w:r>
    </w:p>
    <w:p>
      <w:pPr>
        <w:spacing w:line="360" w:lineRule="auto"/>
        <w:ind w:firstLine="558" w:firstLineChars="155"/>
        <w:rPr>
          <w:sz w:val="36"/>
          <w:szCs w:val="36"/>
        </w:rPr>
      </w:pPr>
    </w:p>
    <w:p>
      <w:pPr>
        <w:spacing w:line="360" w:lineRule="auto"/>
        <w:ind w:firstLine="560" w:firstLineChars="155"/>
        <w:rPr>
          <w:b/>
          <w:sz w:val="36"/>
          <w:szCs w:val="36"/>
        </w:rPr>
      </w:pPr>
      <w:r>
        <w:rPr>
          <w:b/>
          <w:sz w:val="36"/>
          <w:szCs w:val="36"/>
        </w:rPr>
        <w:t>采购代理机构：海南华夏世纪项目管理有限公司</w:t>
      </w:r>
    </w:p>
    <w:p>
      <w:pPr>
        <w:spacing w:line="360" w:lineRule="auto"/>
        <w:rPr>
          <w:b/>
          <w:sz w:val="36"/>
          <w:szCs w:val="36"/>
        </w:rPr>
      </w:pPr>
    </w:p>
    <w:p>
      <w:pPr>
        <w:spacing w:line="360" w:lineRule="auto"/>
        <w:rPr>
          <w:b/>
          <w:sz w:val="36"/>
          <w:szCs w:val="36"/>
        </w:rPr>
      </w:pPr>
    </w:p>
    <w:p>
      <w:pPr>
        <w:spacing w:line="360" w:lineRule="auto"/>
        <w:jc w:val="center"/>
        <w:rPr>
          <w:rFonts w:hint="default" w:eastAsia="宋体"/>
          <w:caps w:val="0"/>
          <w:sz w:val="32"/>
          <w:szCs w:val="32"/>
          <w:lang w:val="en-US" w:eastAsia="zh-CN"/>
        </w:rPr>
        <w:sectPr>
          <w:headerReference r:id="rId3" w:type="default"/>
          <w:footerReference r:id="rId4" w:type="default"/>
          <w:footnotePr>
            <w:pos w:val="beneathText"/>
          </w:footnotePr>
          <w:pgSz w:w="11906" w:h="16838"/>
          <w:pgMar w:top="1440" w:right="1417" w:bottom="1440" w:left="1417" w:header="851" w:footer="992" w:gutter="0"/>
          <w:pgNumType w:fmt="decimal"/>
          <w:cols w:space="720" w:num="1"/>
          <w:docGrid w:type="lines" w:linePitch="312" w:charSpace="0"/>
        </w:sectPr>
      </w:pPr>
      <w:r>
        <w:rPr>
          <w:b/>
          <w:w w:val="95"/>
          <w:sz w:val="36"/>
          <w:szCs w:val="36"/>
        </w:rPr>
        <w:t>二〇二</w:t>
      </w:r>
      <w:r>
        <w:rPr>
          <w:rFonts w:hint="eastAsia"/>
          <w:b/>
          <w:w w:val="95"/>
          <w:sz w:val="36"/>
          <w:szCs w:val="36"/>
        </w:rPr>
        <w:t>一</w:t>
      </w:r>
      <w:r>
        <w:rPr>
          <w:b/>
          <w:w w:val="95"/>
          <w:sz w:val="36"/>
          <w:szCs w:val="36"/>
        </w:rPr>
        <w:t>年</w:t>
      </w:r>
      <w:r>
        <w:rPr>
          <w:rFonts w:hint="eastAsia"/>
          <w:b/>
          <w:w w:val="95"/>
          <w:sz w:val="36"/>
          <w:szCs w:val="36"/>
          <w:lang w:val="en-US" w:eastAsia="zh-CN"/>
        </w:rPr>
        <w:t>五月</w:t>
      </w:r>
    </w:p>
    <w:p>
      <w:pPr>
        <w:pStyle w:val="13"/>
        <w:spacing w:line="480" w:lineRule="auto"/>
        <w:jc w:val="center"/>
        <w:rPr>
          <w:caps w:val="0"/>
          <w:sz w:val="44"/>
          <w:szCs w:val="44"/>
        </w:rPr>
      </w:pPr>
      <w:r>
        <w:rPr>
          <w:caps w:val="0"/>
          <w:sz w:val="44"/>
          <w:szCs w:val="44"/>
        </w:rPr>
        <w:t>目   录</w:t>
      </w:r>
    </w:p>
    <w:p>
      <w:pPr>
        <w:spacing w:line="480" w:lineRule="auto"/>
        <w:rPr>
          <w:sz w:val="28"/>
          <w:szCs w:val="28"/>
        </w:rPr>
      </w:pPr>
    </w:p>
    <w:p>
      <w:pPr>
        <w:pStyle w:val="13"/>
        <w:tabs>
          <w:tab w:val="right" w:leader="dot" w:pos="9072"/>
        </w:tabs>
        <w:spacing w:line="480" w:lineRule="auto"/>
        <w:rPr>
          <w:sz w:val="28"/>
          <w:szCs w:val="28"/>
        </w:rPr>
      </w:pPr>
      <w:r>
        <w:rPr>
          <w:sz w:val="28"/>
          <w:szCs w:val="28"/>
        </w:rPr>
        <w:fldChar w:fldCharType="begin"/>
      </w:r>
      <w:r>
        <w:rPr>
          <w:sz w:val="28"/>
          <w:szCs w:val="28"/>
        </w:rPr>
        <w:instrText xml:space="preserve">TOC \o "1-3" \h \u </w:instrText>
      </w:r>
      <w:r>
        <w:rPr>
          <w:sz w:val="28"/>
          <w:szCs w:val="28"/>
        </w:rPr>
        <w:fldChar w:fldCharType="separate"/>
      </w:r>
      <w:r>
        <w:fldChar w:fldCharType="begin"/>
      </w:r>
      <w:r>
        <w:instrText xml:space="preserve"> HYPERLINK \l "_Toc1348" </w:instrText>
      </w:r>
      <w:r>
        <w:fldChar w:fldCharType="separate"/>
      </w:r>
      <w:r>
        <w:rPr>
          <w:sz w:val="28"/>
          <w:szCs w:val="28"/>
        </w:rPr>
        <w:t>第一章  竞争性磋商采购公告</w:t>
      </w:r>
      <w:r>
        <w:rPr>
          <w:sz w:val="28"/>
          <w:szCs w:val="28"/>
        </w:rPr>
        <w:tab/>
      </w:r>
      <w:r>
        <w:rPr>
          <w:sz w:val="28"/>
          <w:szCs w:val="28"/>
        </w:rPr>
        <w:fldChar w:fldCharType="begin"/>
      </w:r>
      <w:r>
        <w:rPr>
          <w:sz w:val="28"/>
          <w:szCs w:val="28"/>
        </w:rPr>
        <w:instrText xml:space="preserve"> PAGEREF _Toc1348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3"/>
        <w:tabs>
          <w:tab w:val="right" w:leader="dot" w:pos="9072"/>
        </w:tabs>
        <w:spacing w:line="480" w:lineRule="auto"/>
        <w:rPr>
          <w:sz w:val="28"/>
          <w:szCs w:val="28"/>
        </w:rPr>
      </w:pPr>
      <w:r>
        <w:fldChar w:fldCharType="begin"/>
      </w:r>
      <w:r>
        <w:instrText xml:space="preserve"> HYPERLINK \l "_Toc1382" </w:instrText>
      </w:r>
      <w:r>
        <w:fldChar w:fldCharType="separate"/>
      </w:r>
      <w:r>
        <w:rPr>
          <w:sz w:val="28"/>
          <w:szCs w:val="28"/>
        </w:rPr>
        <w:t>第二章  供应商须知</w:t>
      </w:r>
      <w:r>
        <w:rPr>
          <w:sz w:val="28"/>
          <w:szCs w:val="28"/>
        </w:rPr>
        <w:tab/>
      </w:r>
      <w:r>
        <w:rPr>
          <w:sz w:val="28"/>
          <w:szCs w:val="28"/>
        </w:rPr>
        <w:fldChar w:fldCharType="begin"/>
      </w:r>
      <w:r>
        <w:rPr>
          <w:sz w:val="28"/>
          <w:szCs w:val="28"/>
        </w:rPr>
        <w:instrText xml:space="preserve"> PAGEREF _Toc1382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3"/>
        <w:tabs>
          <w:tab w:val="right" w:leader="dot" w:pos="9072"/>
        </w:tabs>
        <w:spacing w:line="480" w:lineRule="auto"/>
        <w:rPr>
          <w:rFonts w:hint="eastAsia" w:eastAsia="宋体"/>
          <w:sz w:val="28"/>
          <w:szCs w:val="28"/>
          <w:lang w:val="en-US" w:eastAsia="zh-CN"/>
        </w:rPr>
      </w:pPr>
      <w:r>
        <w:fldChar w:fldCharType="begin"/>
      </w:r>
      <w:r>
        <w:instrText xml:space="preserve"> HYPERLINK \l "_Toc5864" </w:instrText>
      </w:r>
      <w:r>
        <w:fldChar w:fldCharType="separate"/>
      </w:r>
      <w:r>
        <w:rPr>
          <w:sz w:val="28"/>
          <w:szCs w:val="28"/>
        </w:rPr>
        <w:t>第三章  采购需求书</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1</w:t>
      </w:r>
    </w:p>
    <w:p>
      <w:pPr>
        <w:pStyle w:val="13"/>
        <w:tabs>
          <w:tab w:val="right" w:leader="dot" w:pos="9072"/>
        </w:tabs>
        <w:spacing w:line="480" w:lineRule="auto"/>
        <w:rPr>
          <w:rFonts w:hint="eastAsia" w:eastAsia="宋体"/>
          <w:sz w:val="28"/>
          <w:szCs w:val="28"/>
          <w:lang w:val="en-US" w:eastAsia="zh-CN"/>
        </w:rPr>
      </w:pPr>
      <w:r>
        <w:fldChar w:fldCharType="begin"/>
      </w:r>
      <w:r>
        <w:instrText xml:space="preserve"> HYPERLINK \l "_Toc18165" </w:instrText>
      </w:r>
      <w:r>
        <w:fldChar w:fldCharType="separate"/>
      </w:r>
      <w:r>
        <w:rPr>
          <w:sz w:val="28"/>
          <w:szCs w:val="28"/>
        </w:rPr>
        <w:t>第四章  合同条款及格式</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3</w:t>
      </w:r>
    </w:p>
    <w:p>
      <w:pPr>
        <w:pStyle w:val="13"/>
        <w:tabs>
          <w:tab w:val="right" w:leader="dot" w:pos="9072"/>
        </w:tabs>
        <w:spacing w:line="480" w:lineRule="auto"/>
        <w:rPr>
          <w:rFonts w:hint="eastAsia" w:eastAsia="宋体"/>
          <w:sz w:val="28"/>
          <w:szCs w:val="28"/>
          <w:lang w:val="en-US" w:eastAsia="zh-CN"/>
        </w:rPr>
      </w:pPr>
      <w:r>
        <w:fldChar w:fldCharType="begin"/>
      </w:r>
      <w:r>
        <w:instrText xml:space="preserve"> HYPERLINK \l "_Toc1945" </w:instrText>
      </w:r>
      <w:r>
        <w:fldChar w:fldCharType="separate"/>
      </w:r>
      <w:r>
        <w:rPr>
          <w:sz w:val="28"/>
          <w:szCs w:val="28"/>
        </w:rPr>
        <w:t>第五章  响应文件格式</w:t>
      </w:r>
      <w:r>
        <w:rPr>
          <w:sz w:val="28"/>
          <w:szCs w:val="28"/>
        </w:rPr>
        <w:tab/>
      </w:r>
      <w:r>
        <w:rPr>
          <w:rFonts w:hint="eastAsia"/>
          <w:sz w:val="28"/>
          <w:szCs w:val="28"/>
          <w:lang w:val="en-US" w:eastAsia="zh-CN"/>
        </w:rPr>
        <w:t>2</w:t>
      </w:r>
      <w:r>
        <w:rPr>
          <w:sz w:val="28"/>
          <w:szCs w:val="28"/>
        </w:rPr>
        <w:fldChar w:fldCharType="end"/>
      </w:r>
      <w:r>
        <w:rPr>
          <w:rFonts w:hint="eastAsia"/>
          <w:sz w:val="28"/>
          <w:szCs w:val="28"/>
          <w:lang w:val="en-US" w:eastAsia="zh-CN"/>
        </w:rPr>
        <w:t>0</w:t>
      </w:r>
    </w:p>
    <w:p>
      <w:pPr>
        <w:pStyle w:val="13"/>
        <w:tabs>
          <w:tab w:val="right" w:leader="dot" w:pos="9072"/>
        </w:tabs>
        <w:spacing w:line="480" w:lineRule="auto"/>
        <w:rPr>
          <w:rFonts w:hint="eastAsia" w:eastAsia="宋体"/>
          <w:sz w:val="28"/>
          <w:szCs w:val="28"/>
          <w:lang w:val="en-US" w:eastAsia="zh-CN"/>
        </w:rPr>
      </w:pPr>
      <w:r>
        <w:fldChar w:fldCharType="begin"/>
      </w:r>
      <w:r>
        <w:instrText xml:space="preserve"> HYPERLINK \l "_Toc31615" </w:instrText>
      </w:r>
      <w:r>
        <w:fldChar w:fldCharType="separate"/>
      </w:r>
      <w:r>
        <w:rPr>
          <w:sz w:val="28"/>
          <w:szCs w:val="28"/>
        </w:rPr>
        <w:t xml:space="preserve">第六章  </w:t>
      </w:r>
      <w:r>
        <w:rPr>
          <w:rFonts w:hint="eastAsia"/>
          <w:sz w:val="28"/>
          <w:szCs w:val="28"/>
          <w:lang w:val="en-US" w:eastAsia="zh-CN"/>
        </w:rPr>
        <w:t>磋商程序</w:t>
      </w:r>
      <w:r>
        <w:rPr>
          <w:sz w:val="28"/>
          <w:szCs w:val="28"/>
        </w:rPr>
        <w:tab/>
      </w:r>
      <w:r>
        <w:rPr>
          <w:rFonts w:hint="eastAsia"/>
          <w:sz w:val="28"/>
          <w:szCs w:val="28"/>
          <w:lang w:val="en-US" w:eastAsia="zh-CN"/>
        </w:rPr>
        <w:t>3</w:t>
      </w:r>
      <w:r>
        <w:rPr>
          <w:sz w:val="28"/>
          <w:szCs w:val="28"/>
        </w:rPr>
        <w:fldChar w:fldCharType="end"/>
      </w:r>
      <w:r>
        <w:rPr>
          <w:rFonts w:hint="eastAsia"/>
          <w:sz w:val="28"/>
          <w:szCs w:val="28"/>
          <w:lang w:val="en-US" w:eastAsia="zh-CN"/>
        </w:rPr>
        <w:t>6</w:t>
      </w:r>
    </w:p>
    <w:p>
      <w:pPr>
        <w:rPr>
          <w:sz w:val="28"/>
          <w:szCs w:val="28"/>
        </w:rPr>
      </w:pPr>
      <w:r>
        <w:rPr>
          <w:sz w:val="28"/>
          <w:szCs w:val="28"/>
        </w:rPr>
        <w:fldChar w:fldCharType="end"/>
      </w:r>
    </w:p>
    <w:p>
      <w:pPr>
        <w:pStyle w:val="4"/>
        <w:rPr>
          <w:sz w:val="28"/>
          <w:szCs w:val="28"/>
        </w:rPr>
      </w:pPr>
    </w:p>
    <w:p>
      <w:pPr>
        <w:rPr>
          <w:sz w:val="28"/>
          <w:szCs w:val="28"/>
        </w:rPr>
      </w:pPr>
    </w:p>
    <w:p>
      <w:pPr>
        <w:pStyle w:val="4"/>
        <w:rPr>
          <w:sz w:val="28"/>
          <w:szCs w:val="28"/>
        </w:rPr>
      </w:pPr>
    </w:p>
    <w:p>
      <w:pPr>
        <w:rPr>
          <w:sz w:val="28"/>
          <w:szCs w:val="28"/>
        </w:rPr>
      </w:pPr>
    </w:p>
    <w:p>
      <w:pPr>
        <w:pStyle w:val="4"/>
        <w:rPr>
          <w:sz w:val="28"/>
          <w:szCs w:val="28"/>
        </w:rPr>
      </w:pPr>
    </w:p>
    <w:p>
      <w:pPr>
        <w:rPr>
          <w:sz w:val="28"/>
          <w:szCs w:val="28"/>
        </w:rPr>
      </w:pPr>
    </w:p>
    <w:p>
      <w:pPr>
        <w:pStyle w:val="4"/>
        <w:rPr>
          <w:sz w:val="28"/>
          <w:szCs w:val="28"/>
        </w:rPr>
      </w:pPr>
    </w:p>
    <w:p>
      <w:pPr>
        <w:rPr>
          <w:sz w:val="28"/>
          <w:szCs w:val="28"/>
        </w:rPr>
      </w:pPr>
    </w:p>
    <w:p>
      <w:pPr>
        <w:pStyle w:val="4"/>
        <w:rPr>
          <w:sz w:val="28"/>
          <w:szCs w:val="28"/>
        </w:rPr>
      </w:pPr>
    </w:p>
    <w:p>
      <w:pPr>
        <w:rPr>
          <w:sz w:val="28"/>
          <w:szCs w:val="28"/>
        </w:rPr>
      </w:pPr>
    </w:p>
    <w:p>
      <w:pPr>
        <w:pStyle w:val="4"/>
        <w:rPr>
          <w:sz w:val="28"/>
          <w:szCs w:val="28"/>
        </w:rPr>
      </w:pPr>
    </w:p>
    <w:p>
      <w:pPr>
        <w:pStyle w:val="4"/>
        <w:jc w:val="both"/>
        <w:rPr>
          <w:sz w:val="28"/>
          <w:szCs w:val="28"/>
        </w:rPr>
      </w:pPr>
    </w:p>
    <w:p>
      <w:pPr>
        <w:pStyle w:val="2"/>
        <w:tabs>
          <w:tab w:val="left" w:pos="1768"/>
        </w:tabs>
        <w:spacing w:before="243"/>
        <w:ind w:right="2"/>
        <w:jc w:val="both"/>
      </w:pPr>
    </w:p>
    <w:p>
      <w:pPr>
        <w:pStyle w:val="2"/>
        <w:tabs>
          <w:tab w:val="left" w:pos="1768"/>
        </w:tabs>
        <w:spacing w:before="243"/>
        <w:ind w:right="2"/>
        <w:jc w:val="center"/>
        <w:rPr>
          <w:sz w:val="44"/>
          <w:szCs w:val="44"/>
        </w:rPr>
        <w:sectPr>
          <w:footerReference r:id="rId5" w:type="default"/>
          <w:pgSz w:w="11910" w:h="16840"/>
          <w:pgMar w:top="1180" w:right="920" w:bottom="1700" w:left="1160" w:header="877" w:footer="1511" w:gutter="0"/>
          <w:pgNumType w:fmt="decimal" w:start="1"/>
        </w:sectPr>
      </w:pPr>
    </w:p>
    <w:p>
      <w:pPr>
        <w:pStyle w:val="2"/>
        <w:tabs>
          <w:tab w:val="left" w:pos="1768"/>
        </w:tabs>
        <w:spacing w:before="243"/>
        <w:ind w:right="2"/>
        <w:jc w:val="center"/>
        <w:rPr>
          <w:rFonts w:hint="eastAsia"/>
          <w:u w:val="none"/>
          <w:lang w:val="en-GB" w:eastAsia="zh-CN"/>
        </w:rPr>
      </w:pPr>
      <w:r>
        <w:rPr>
          <w:sz w:val="44"/>
          <w:szCs w:val="44"/>
        </w:rPr>
        <mc:AlternateContent>
          <mc:Choice Requires="wps">
            <w:drawing>
              <wp:anchor distT="0" distB="0" distL="114300" distR="114300" simplePos="0" relativeHeight="251660288" behindDoc="1" locked="0" layoutInCell="1" allowOverlap="1">
                <wp:simplePos x="0" y="0"/>
                <wp:positionH relativeFrom="page">
                  <wp:posOffset>1069975</wp:posOffset>
                </wp:positionH>
                <wp:positionV relativeFrom="paragraph">
                  <wp:posOffset>-179705</wp:posOffset>
                </wp:positionV>
                <wp:extent cx="4336415" cy="177800"/>
                <wp:effectExtent l="0" t="0" r="6985" b="12700"/>
                <wp:wrapTopAndBottom/>
                <wp:docPr id="3" name="文本框 3"/>
                <wp:cNvGraphicFramePr/>
                <a:graphic xmlns:a="http://schemas.openxmlformats.org/drawingml/2006/main">
                  <a:graphicData uri="http://schemas.microsoft.com/office/word/2010/wordprocessingShape">
                    <wps:wsp>
                      <wps:cNvSpPr txBox="1"/>
                      <wps:spPr>
                        <a:xfrm flipV="1">
                          <a:off x="0" y="0"/>
                          <a:ext cx="4336415" cy="177800"/>
                        </a:xfrm>
                        <a:prstGeom prst="rect">
                          <a:avLst/>
                        </a:prstGeom>
                        <a:solidFill>
                          <a:srgbClr val="FFFFFF"/>
                        </a:solidFill>
                        <a:ln w="6097">
                          <a:noFill/>
                        </a:ln>
                      </wps:spPr>
                      <wps:txbx>
                        <w:txbxContent>
                          <w:p/>
                        </w:txbxContent>
                      </wps:txbx>
                      <wps:bodyPr lIns="0" tIns="0" rIns="0" bIns="0" upright="1"/>
                    </wps:wsp>
                  </a:graphicData>
                </a:graphic>
              </wp:anchor>
            </w:drawing>
          </mc:Choice>
          <mc:Fallback>
            <w:pict>
              <v:shape id="_x0000_s1026" o:spid="_x0000_s1026" o:spt="202" type="#_x0000_t202" style="position:absolute;left:0pt;flip:y;margin-left:84.25pt;margin-top:-14.15pt;height:14pt;width:341.45pt;mso-position-horizontal-relative:page;mso-wrap-distance-bottom:0pt;mso-wrap-distance-top:0pt;z-index:-251656192;mso-width-relative:page;mso-height-relative:page;" fillcolor="#FFFFFF" filled="t" stroked="f" coordsize="21600,21600" o:gfxdata="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rG+NTXAAAACQEAAA8A&#10;AAAAAAAAAQAgAAAAIgAAAGRycy9kb3ducmV2LnhtbFBLAQIUABQAAAAIAIdO4kCgNO5p3wEAAK4D&#10;AAAOAAAAAAAAAAEAIAAAACYBAABkcnMvZTJvRG9jLnhtbFBLBQYAAAAABgAGAFkBAAB3BQAAAAA=&#10;">
                <v:fill on="t" focussize="0,0"/>
                <v:stroke on="f" weight="0.48007874015748pt"/>
                <v:imagedata o:title=""/>
                <o:lock v:ext="edit" aspectratio="f"/>
                <v:textbox inset="0mm,0mm,0mm,0mm">
                  <w:txbxContent>
                    <w:p/>
                  </w:txbxContent>
                </v:textbox>
                <w10:wrap type="topAndBottom"/>
              </v:shape>
            </w:pict>
          </mc:Fallback>
        </mc:AlternateContent>
      </w:r>
      <w:r>
        <w:rPr>
          <w:sz w:val="44"/>
          <w:szCs w:val="44"/>
        </w:rPr>
        <w:t>第一章</w:t>
      </w:r>
      <w:r>
        <w:rPr>
          <w:sz w:val="44"/>
          <w:szCs w:val="44"/>
        </w:rPr>
        <w:tab/>
      </w:r>
      <w:r>
        <w:rPr>
          <w:sz w:val="44"/>
          <w:szCs w:val="44"/>
        </w:rPr>
        <w:t>竞争性磋商采购公告</w:t>
      </w:r>
    </w:p>
    <w:p>
      <w:pPr>
        <w:pStyle w:val="9"/>
        <w:spacing w:before="158" w:line="364" w:lineRule="auto"/>
        <w:ind w:left="107" w:right="108" w:firstLine="479"/>
        <w:jc w:val="both"/>
        <w:rPr>
          <w:rFonts w:hint="eastAsia"/>
          <w:u w:val="none"/>
          <w:lang w:val="en-GB" w:eastAsia="zh-CN"/>
        </w:rPr>
      </w:pPr>
      <w:r>
        <w:rPr>
          <w:rFonts w:hint="eastAsia"/>
          <w:u w:val="none"/>
          <w:lang w:val="en-GB" w:eastAsia="zh-CN"/>
        </w:rPr>
        <w:t>海南华夏世纪项目管理有限公司受海南省自然资源和规划厅的委托，就海南省传统村落和历史街区保护与活化利用十四五专项规划（项目编号：HXSJ-CG-2021012）所需的相关货物和服务</w:t>
      </w:r>
      <w:r>
        <w:rPr>
          <w:rFonts w:hint="eastAsia"/>
          <w:u w:val="none"/>
          <w:lang w:val="en-US" w:eastAsia="zh-CN"/>
        </w:rPr>
        <w:t>采取竞争性磋商方式进行采购</w:t>
      </w:r>
      <w:r>
        <w:rPr>
          <w:rFonts w:hint="eastAsia"/>
          <w:u w:val="none"/>
          <w:lang w:val="en-GB" w:eastAsia="zh-CN"/>
        </w:rPr>
        <w:t>，欢迎合格的供应商前来投标。有关事项如下：</w:t>
      </w:r>
    </w:p>
    <w:p>
      <w:pPr>
        <w:pStyle w:val="9"/>
        <w:spacing w:before="184"/>
        <w:ind w:left="638"/>
        <w:rPr>
          <w:rFonts w:hint="eastAsia"/>
          <w:u w:val="none"/>
          <w:lang w:eastAsia="zh-CN"/>
        </w:rPr>
      </w:pPr>
      <w:r>
        <w:t xml:space="preserve">一、项目基本情况 </w:t>
      </w:r>
    </w:p>
    <w:p>
      <w:pPr>
        <w:autoSpaceDE/>
        <w:autoSpaceDN/>
        <w:spacing w:before="0" w:after="0" w:line="360" w:lineRule="auto"/>
        <w:ind w:left="0" w:right="0" w:firstLine="480" w:firstLineChars="200"/>
        <w:jc w:val="both"/>
        <w:outlineLvl w:val="0"/>
        <w:rPr>
          <w:rFonts w:hint="eastAsia" w:ascii="宋体" w:hAnsi="宋体" w:eastAsia="宋体" w:cs="宋体"/>
          <w:bCs/>
          <w:kern w:val="0"/>
          <w:sz w:val="24"/>
          <w:szCs w:val="24"/>
          <w:lang w:val="en-GB" w:eastAsia="zh-CN" w:bidi="ar-SA"/>
        </w:rPr>
      </w:pPr>
      <w:r>
        <w:rPr>
          <w:rFonts w:hint="eastAsia" w:ascii="宋体" w:hAnsi="宋体" w:eastAsia="宋体" w:cs="宋体"/>
          <w:bCs/>
          <w:kern w:val="0"/>
          <w:sz w:val="24"/>
          <w:szCs w:val="24"/>
          <w:lang w:val="en-GB" w:eastAsia="zh-CN" w:bidi="ar-SA"/>
        </w:rPr>
        <w:t>1、</w:t>
      </w:r>
      <w:r>
        <w:rPr>
          <w:rFonts w:hint="eastAsia" w:ascii="宋体" w:hAnsi="宋体" w:eastAsia="宋体" w:cs="宋体"/>
          <w:bCs/>
          <w:kern w:val="0"/>
          <w:sz w:val="24"/>
          <w:szCs w:val="24"/>
          <w:lang w:val="zh-CN" w:eastAsia="zh-CN" w:bidi="ar-SA"/>
        </w:rPr>
        <w:t>项目名称：</w:t>
      </w:r>
      <w:r>
        <w:rPr>
          <w:rFonts w:hint="eastAsia" w:cs="宋体"/>
          <w:bCs/>
          <w:kern w:val="0"/>
          <w:sz w:val="24"/>
          <w:szCs w:val="24"/>
          <w:lang w:val="en-GB" w:eastAsia="zh-CN" w:bidi="ar-SA"/>
        </w:rPr>
        <w:t>海南省传统村落和历史街区保护与活化利用十四五专项规划</w:t>
      </w:r>
    </w:p>
    <w:p>
      <w:pPr>
        <w:autoSpaceDE/>
        <w:autoSpaceDN/>
        <w:spacing w:before="0" w:after="0" w:line="360" w:lineRule="auto"/>
        <w:ind w:left="0" w:right="0" w:firstLine="480" w:firstLineChars="200"/>
        <w:jc w:val="both"/>
        <w:outlineLvl w:val="0"/>
        <w:rPr>
          <w:rFonts w:hint="eastAsia" w:ascii="宋体" w:hAnsi="宋体" w:eastAsia="宋体" w:cs="宋体"/>
          <w:bCs/>
          <w:kern w:val="0"/>
          <w:sz w:val="24"/>
          <w:szCs w:val="24"/>
          <w:lang w:val="en-GB" w:eastAsia="zh-CN" w:bidi="ar-SA"/>
        </w:rPr>
      </w:pPr>
      <w:r>
        <w:rPr>
          <w:rFonts w:hint="eastAsia" w:ascii="宋体" w:hAnsi="宋体" w:eastAsia="宋体" w:cs="宋体"/>
          <w:bCs/>
          <w:kern w:val="0"/>
          <w:sz w:val="24"/>
          <w:szCs w:val="24"/>
          <w:lang w:val="en-GB" w:eastAsia="zh-CN" w:bidi="ar-SA"/>
        </w:rPr>
        <w:t>2、招标编号：</w:t>
      </w:r>
      <w:r>
        <w:rPr>
          <w:rFonts w:hint="eastAsia" w:eastAsia="宋体" w:cs="宋体"/>
          <w:bCs/>
          <w:kern w:val="0"/>
          <w:sz w:val="24"/>
          <w:szCs w:val="24"/>
          <w:lang w:val="en-GB" w:eastAsia="zh-CN" w:bidi="ar-SA"/>
        </w:rPr>
        <w:t>HXSJ-CG-2021012</w:t>
      </w:r>
    </w:p>
    <w:p>
      <w:pPr>
        <w:autoSpaceDE/>
        <w:autoSpaceDN/>
        <w:spacing w:before="0" w:after="0" w:line="360" w:lineRule="auto"/>
        <w:ind w:left="0" w:right="0" w:firstLine="480" w:firstLineChars="200"/>
        <w:jc w:val="both"/>
        <w:outlineLvl w:val="0"/>
        <w:rPr>
          <w:rFonts w:hint="eastAsia" w:ascii="宋体" w:hAnsi="宋体" w:eastAsia="宋体" w:cs="宋体"/>
          <w:bCs/>
          <w:kern w:val="0"/>
          <w:sz w:val="24"/>
          <w:szCs w:val="24"/>
          <w:lang w:val="en-GB" w:eastAsia="zh-CN" w:bidi="ar-SA"/>
        </w:rPr>
      </w:pPr>
      <w:r>
        <w:rPr>
          <w:rFonts w:hint="eastAsia" w:ascii="宋体" w:hAnsi="宋体" w:eastAsia="宋体" w:cs="宋体"/>
          <w:bCs/>
          <w:kern w:val="0"/>
          <w:sz w:val="24"/>
          <w:szCs w:val="24"/>
          <w:lang w:val="en-GB" w:eastAsia="zh-CN" w:bidi="ar-SA"/>
        </w:rPr>
        <w:t>3、预算金额（</w:t>
      </w:r>
      <w:r>
        <w:rPr>
          <w:rFonts w:hint="eastAsia" w:ascii="宋体" w:hAnsi="宋体" w:eastAsia="宋体" w:cs="宋体"/>
          <w:bCs/>
          <w:kern w:val="0"/>
          <w:sz w:val="24"/>
          <w:szCs w:val="24"/>
          <w:lang w:val="en-US" w:eastAsia="zh-CN" w:bidi="ar-SA"/>
        </w:rPr>
        <w:t>最高限价</w:t>
      </w:r>
      <w:r>
        <w:rPr>
          <w:rFonts w:hint="eastAsia" w:ascii="宋体" w:hAnsi="宋体" w:eastAsia="宋体" w:cs="宋体"/>
          <w:bCs/>
          <w:kern w:val="0"/>
          <w:sz w:val="24"/>
          <w:szCs w:val="24"/>
          <w:lang w:val="en-GB" w:eastAsia="zh-CN" w:bidi="ar-SA"/>
        </w:rPr>
        <w:t>）：¥</w:t>
      </w:r>
      <w:r>
        <w:rPr>
          <w:rFonts w:hint="eastAsia" w:ascii="宋体" w:hAnsi="宋体" w:eastAsia="宋体" w:cs="宋体"/>
          <w:bCs/>
          <w:kern w:val="0"/>
          <w:sz w:val="24"/>
          <w:szCs w:val="24"/>
          <w:lang w:val="en-US" w:eastAsia="zh-CN" w:bidi="ar-SA"/>
        </w:rPr>
        <w:t>1000000.00</w:t>
      </w:r>
      <w:r>
        <w:rPr>
          <w:rFonts w:hint="eastAsia" w:ascii="宋体" w:hAnsi="宋体" w:eastAsia="宋体" w:cs="宋体"/>
          <w:bCs/>
          <w:kern w:val="0"/>
          <w:sz w:val="24"/>
          <w:szCs w:val="24"/>
          <w:lang w:val="en-GB" w:eastAsia="zh-CN" w:bidi="ar-SA"/>
        </w:rPr>
        <w:t>元。超过项目预算的响应文件按无效投标处理</w:t>
      </w:r>
    </w:p>
    <w:p>
      <w:pPr>
        <w:autoSpaceDE/>
        <w:autoSpaceDN/>
        <w:spacing w:before="0" w:after="0" w:line="360" w:lineRule="auto"/>
        <w:ind w:left="0" w:right="0" w:firstLine="480" w:firstLineChars="200"/>
        <w:jc w:val="both"/>
        <w:outlineLvl w:val="0"/>
        <w:rPr>
          <w:rFonts w:hint="eastAsia" w:ascii="宋体" w:hAnsi="宋体" w:eastAsia="宋体" w:cs="宋体"/>
          <w:bCs/>
          <w:kern w:val="0"/>
          <w:sz w:val="24"/>
          <w:szCs w:val="24"/>
          <w:lang w:val="en-GB" w:eastAsia="zh-CN" w:bidi="ar-SA"/>
        </w:rPr>
      </w:pPr>
      <w:r>
        <w:rPr>
          <w:rFonts w:hint="eastAsia" w:ascii="宋体" w:hAnsi="宋体" w:eastAsia="宋体" w:cs="宋体"/>
          <w:bCs/>
          <w:kern w:val="0"/>
          <w:sz w:val="24"/>
          <w:szCs w:val="24"/>
          <w:lang w:val="en-US" w:eastAsia="zh-CN" w:bidi="ar-SA"/>
        </w:rPr>
        <w:t>4、</w:t>
      </w:r>
      <w:r>
        <w:rPr>
          <w:rFonts w:hint="eastAsia" w:ascii="宋体" w:hAnsi="宋体" w:eastAsia="宋体" w:cs="宋体"/>
          <w:bCs/>
          <w:kern w:val="0"/>
          <w:sz w:val="24"/>
          <w:szCs w:val="24"/>
          <w:lang w:val="en-GB" w:eastAsia="zh-CN" w:bidi="ar-SA"/>
        </w:rPr>
        <w:t>采购内容：本次采购内容为</w:t>
      </w:r>
      <w:r>
        <w:rPr>
          <w:rFonts w:hint="eastAsia" w:cs="宋体"/>
          <w:bCs/>
          <w:kern w:val="0"/>
          <w:sz w:val="24"/>
          <w:szCs w:val="24"/>
          <w:lang w:val="en-GB" w:eastAsia="zh-CN" w:bidi="ar-SA"/>
        </w:rPr>
        <w:t>海南省传统村落和历史街区保护与活化利用十四五专项规划</w:t>
      </w:r>
      <w:r>
        <w:rPr>
          <w:rFonts w:hint="eastAsia" w:ascii="宋体" w:hAnsi="宋体" w:eastAsia="宋体" w:cs="宋体"/>
          <w:bCs/>
          <w:kern w:val="0"/>
          <w:sz w:val="24"/>
          <w:szCs w:val="24"/>
          <w:lang w:val="en-GB" w:eastAsia="zh-CN" w:bidi="ar-SA"/>
        </w:rPr>
        <w:t>所需的相关服务，不分包，详细技术要求或技术参数详见</w:t>
      </w:r>
      <w:r>
        <w:rPr>
          <w:rFonts w:hint="eastAsia" w:cs="宋体"/>
          <w:bCs/>
          <w:kern w:val="0"/>
          <w:sz w:val="24"/>
          <w:szCs w:val="24"/>
          <w:lang w:val="en-GB" w:eastAsia="zh-CN" w:bidi="ar-SA"/>
        </w:rPr>
        <w:t>竞争性磋商文件</w:t>
      </w:r>
      <w:r>
        <w:rPr>
          <w:rFonts w:hint="eastAsia" w:ascii="宋体" w:hAnsi="宋体" w:eastAsia="宋体" w:cs="宋体"/>
          <w:bCs/>
          <w:kern w:val="0"/>
          <w:sz w:val="24"/>
          <w:szCs w:val="24"/>
          <w:lang w:val="en-GB" w:eastAsia="zh-CN" w:bidi="ar-SA"/>
        </w:rPr>
        <w:t>《</w:t>
      </w:r>
      <w:r>
        <w:rPr>
          <w:rFonts w:hint="eastAsia" w:eastAsia="宋体" w:cs="宋体"/>
          <w:bCs/>
          <w:kern w:val="0"/>
          <w:sz w:val="24"/>
          <w:szCs w:val="24"/>
          <w:lang w:val="en-US" w:eastAsia="zh-CN" w:bidi="ar-SA"/>
        </w:rPr>
        <w:t>采购</w:t>
      </w:r>
      <w:r>
        <w:rPr>
          <w:rFonts w:hint="eastAsia" w:ascii="宋体" w:hAnsi="宋体" w:eastAsia="宋体" w:cs="宋体"/>
          <w:bCs/>
          <w:kern w:val="0"/>
          <w:sz w:val="24"/>
          <w:szCs w:val="24"/>
          <w:lang w:val="en-GB" w:eastAsia="zh-CN" w:bidi="ar-SA"/>
        </w:rPr>
        <w:t>需求书》</w:t>
      </w:r>
    </w:p>
    <w:p>
      <w:pPr>
        <w:spacing w:line="360" w:lineRule="auto"/>
        <w:rPr>
          <w:b/>
          <w:sz w:val="24"/>
          <w:szCs w:val="24"/>
        </w:rPr>
      </w:pPr>
      <w:bookmarkStart w:id="7" w:name="_bookmark1"/>
      <w:bookmarkEnd w:id="7"/>
      <w:r>
        <w:rPr>
          <w:b/>
          <w:sz w:val="24"/>
          <w:szCs w:val="24"/>
        </w:rPr>
        <w:t>二、供应商资格要求</w:t>
      </w:r>
    </w:p>
    <w:p>
      <w:pPr>
        <w:snapToGrid w:val="0"/>
        <w:spacing w:line="360" w:lineRule="auto"/>
        <w:ind w:firstLine="480" w:firstLineChars="200"/>
        <w:rPr>
          <w:color w:val="auto"/>
          <w:kern w:val="28"/>
          <w:sz w:val="24"/>
          <w:szCs w:val="24"/>
        </w:rPr>
      </w:pPr>
      <w:r>
        <w:rPr>
          <w:color w:val="auto"/>
          <w:kern w:val="28"/>
          <w:sz w:val="24"/>
          <w:szCs w:val="24"/>
        </w:rPr>
        <w:t>1、供应商须符合政府采购法第二十二条之规定；</w:t>
      </w:r>
    </w:p>
    <w:p>
      <w:pPr>
        <w:snapToGrid w:val="0"/>
        <w:spacing w:line="360" w:lineRule="auto"/>
        <w:ind w:firstLine="480" w:firstLineChars="200"/>
        <w:rPr>
          <w:color w:val="auto"/>
          <w:kern w:val="28"/>
          <w:sz w:val="24"/>
          <w:szCs w:val="24"/>
        </w:rPr>
      </w:pPr>
      <w:r>
        <w:rPr>
          <w:color w:val="auto"/>
          <w:kern w:val="28"/>
          <w:sz w:val="24"/>
          <w:szCs w:val="24"/>
        </w:rPr>
        <w:t>2、具有独立承担民事责任能力的在中华人民共和国境内注册的法人，须提供加载“统一社会信用代码”的有效营业执照（复印件加盖公章）；</w:t>
      </w:r>
    </w:p>
    <w:p>
      <w:pPr>
        <w:snapToGrid w:val="0"/>
        <w:spacing w:line="360" w:lineRule="auto"/>
        <w:ind w:firstLine="480" w:firstLineChars="200"/>
        <w:rPr>
          <w:color w:val="auto"/>
          <w:kern w:val="28"/>
          <w:sz w:val="24"/>
          <w:szCs w:val="24"/>
        </w:rPr>
      </w:pPr>
      <w:r>
        <w:rPr>
          <w:color w:val="auto"/>
          <w:kern w:val="28"/>
          <w:sz w:val="24"/>
          <w:szCs w:val="24"/>
        </w:rPr>
        <w:t>3、供应商必须具有良好的商业信誉和健全的财务会计制度【须提供20</w:t>
      </w:r>
      <w:r>
        <w:rPr>
          <w:rFonts w:hint="eastAsia"/>
          <w:color w:val="auto"/>
          <w:kern w:val="28"/>
          <w:sz w:val="24"/>
          <w:szCs w:val="24"/>
          <w:lang w:val="en-US" w:eastAsia="zh-CN"/>
        </w:rPr>
        <w:t>19</w:t>
      </w:r>
      <w:r>
        <w:rPr>
          <w:color w:val="auto"/>
          <w:kern w:val="28"/>
          <w:sz w:val="24"/>
          <w:szCs w:val="24"/>
        </w:rPr>
        <w:t>年度财务审计报告</w:t>
      </w:r>
      <w:r>
        <w:rPr>
          <w:rFonts w:hint="eastAsia"/>
          <w:color w:val="auto"/>
          <w:kern w:val="28"/>
          <w:sz w:val="24"/>
          <w:szCs w:val="24"/>
        </w:rPr>
        <w:t>或2020年任意三个月的财务报表</w:t>
      </w:r>
      <w:r>
        <w:rPr>
          <w:color w:val="auto"/>
          <w:kern w:val="28"/>
          <w:sz w:val="24"/>
          <w:szCs w:val="24"/>
        </w:rPr>
        <w:t>；企业注册时间不足的，须提供注册时间起至今每月或每季度的财务报表（含</w:t>
      </w:r>
      <w:r>
        <w:rPr>
          <w:rFonts w:hint="eastAsia"/>
          <w:color w:val="auto"/>
          <w:kern w:val="28"/>
          <w:sz w:val="24"/>
          <w:szCs w:val="24"/>
        </w:rPr>
        <w:t>资产负债表、损益表、现金流量表</w:t>
      </w:r>
      <w:r>
        <w:rPr>
          <w:color w:val="auto"/>
          <w:kern w:val="28"/>
          <w:sz w:val="24"/>
          <w:szCs w:val="24"/>
        </w:rPr>
        <w:t>）】</w:t>
      </w:r>
    </w:p>
    <w:p>
      <w:pPr>
        <w:snapToGrid w:val="0"/>
        <w:spacing w:line="360" w:lineRule="auto"/>
        <w:ind w:firstLine="480" w:firstLineChars="200"/>
        <w:rPr>
          <w:color w:val="auto"/>
          <w:kern w:val="28"/>
          <w:sz w:val="24"/>
          <w:szCs w:val="24"/>
        </w:rPr>
      </w:pPr>
      <w:r>
        <w:rPr>
          <w:color w:val="auto"/>
          <w:kern w:val="28"/>
          <w:sz w:val="24"/>
          <w:szCs w:val="24"/>
        </w:rPr>
        <w:t>4、具有依法缴纳税收和社会保障资金的良好记录【供应商须提供2020年</w:t>
      </w:r>
      <w:r>
        <w:rPr>
          <w:rFonts w:hint="eastAsia"/>
          <w:color w:val="auto"/>
          <w:kern w:val="28"/>
          <w:sz w:val="24"/>
          <w:szCs w:val="24"/>
          <w:lang w:val="en-US" w:eastAsia="zh-CN"/>
        </w:rPr>
        <w:t>6</w:t>
      </w:r>
      <w:r>
        <w:rPr>
          <w:color w:val="auto"/>
          <w:kern w:val="28"/>
          <w:sz w:val="24"/>
          <w:szCs w:val="24"/>
        </w:rPr>
        <w:t>月至今任意</w:t>
      </w:r>
      <w:r>
        <w:rPr>
          <w:rFonts w:hint="eastAsia"/>
          <w:color w:val="auto"/>
          <w:kern w:val="28"/>
          <w:sz w:val="24"/>
          <w:szCs w:val="24"/>
        </w:rPr>
        <w:t>3</w:t>
      </w:r>
      <w:r>
        <w:rPr>
          <w:color w:val="auto"/>
          <w:kern w:val="28"/>
          <w:sz w:val="24"/>
          <w:szCs w:val="24"/>
        </w:rPr>
        <w:t>个月的缴纳税收证明和社保缴费记录证明，企业注册时间不足的，按企业注册时间实际缴纳提供证明（证明材料复印件加盖公章）】；</w:t>
      </w:r>
    </w:p>
    <w:p>
      <w:pPr>
        <w:snapToGrid w:val="0"/>
        <w:spacing w:line="360" w:lineRule="auto"/>
        <w:ind w:firstLine="480" w:firstLineChars="200"/>
        <w:rPr>
          <w:color w:val="auto"/>
          <w:kern w:val="28"/>
          <w:sz w:val="24"/>
          <w:szCs w:val="24"/>
        </w:rPr>
      </w:pPr>
      <w:r>
        <w:rPr>
          <w:color w:val="auto"/>
          <w:kern w:val="28"/>
          <w:sz w:val="24"/>
          <w:szCs w:val="24"/>
        </w:rPr>
        <w:t>5、供应商参加政府采购活动前3年内（注册成立时间不足三年的，从注册时间起算）在经营活动中没有重大违法记录的书面声明函原件；</w:t>
      </w:r>
    </w:p>
    <w:p>
      <w:pPr>
        <w:snapToGrid w:val="0"/>
        <w:spacing w:line="360" w:lineRule="auto"/>
        <w:ind w:firstLine="480" w:firstLineChars="200"/>
        <w:rPr>
          <w:color w:val="auto"/>
          <w:kern w:val="28"/>
          <w:sz w:val="24"/>
          <w:szCs w:val="24"/>
        </w:rPr>
      </w:pPr>
      <w:r>
        <w:rPr>
          <w:color w:val="auto"/>
          <w:kern w:val="28"/>
          <w:sz w:val="24"/>
          <w:szCs w:val="24"/>
        </w:rPr>
        <w:t>6、供应商必须为未被列入信用中国网站(www.creditchina.gov.cn)的“失信被执行人”、“重大税收违法案件当事人名单”和中国政府采购网(www.ccgp.gov.cn)的“政府采购严重违法失信行为记录名单”的</w:t>
      </w:r>
      <w:r>
        <w:rPr>
          <w:rFonts w:hint="eastAsia"/>
          <w:color w:val="auto"/>
          <w:kern w:val="28"/>
          <w:sz w:val="24"/>
          <w:szCs w:val="24"/>
          <w:lang w:eastAsia="zh-CN"/>
        </w:rPr>
        <w:t>供应商</w:t>
      </w:r>
      <w:r>
        <w:rPr>
          <w:color w:val="auto"/>
          <w:kern w:val="28"/>
          <w:sz w:val="24"/>
          <w:szCs w:val="24"/>
        </w:rPr>
        <w:t>（提供开标时间前5天内的查询结果网页截图并加盖单位公章）；</w:t>
      </w:r>
    </w:p>
    <w:p>
      <w:pPr>
        <w:snapToGrid w:val="0"/>
        <w:spacing w:line="360" w:lineRule="auto"/>
        <w:ind w:firstLine="480" w:firstLineChars="200"/>
        <w:rPr>
          <w:rFonts w:hint="eastAsia"/>
          <w:color w:val="auto"/>
          <w:kern w:val="28"/>
          <w:sz w:val="24"/>
          <w:szCs w:val="24"/>
          <w:lang w:val="en-US" w:eastAsia="zh-CN"/>
        </w:rPr>
      </w:pPr>
      <w:r>
        <w:rPr>
          <w:rFonts w:hint="eastAsia"/>
          <w:color w:val="auto"/>
          <w:kern w:val="28"/>
          <w:sz w:val="24"/>
          <w:szCs w:val="24"/>
          <w:lang w:val="en-US" w:eastAsia="zh-CN"/>
        </w:rPr>
        <w:t>7、应具备城乡规划资质甲级证书（注：自然资源部于近期开展到期城乡规划甲级资质延期认定工作，如投标人因上述政策性原因暂未延续的资质证书视为符合条件）。</w:t>
      </w:r>
    </w:p>
    <w:p>
      <w:pPr>
        <w:snapToGrid w:val="0"/>
        <w:spacing w:line="360" w:lineRule="auto"/>
        <w:ind w:firstLine="480" w:firstLineChars="200"/>
        <w:rPr>
          <w:color w:val="auto"/>
          <w:kern w:val="28"/>
          <w:sz w:val="24"/>
          <w:szCs w:val="24"/>
        </w:rPr>
      </w:pPr>
      <w:r>
        <w:rPr>
          <w:rFonts w:hint="eastAsia"/>
          <w:color w:val="auto"/>
          <w:kern w:val="28"/>
          <w:sz w:val="24"/>
          <w:szCs w:val="24"/>
          <w:lang w:val="en-US" w:eastAsia="zh-CN"/>
        </w:rPr>
        <w:t>8</w:t>
      </w:r>
      <w:r>
        <w:rPr>
          <w:color w:val="auto"/>
          <w:kern w:val="28"/>
          <w:sz w:val="24"/>
          <w:szCs w:val="24"/>
        </w:rPr>
        <w:t>、本项目不接受联合投标；</w:t>
      </w:r>
    </w:p>
    <w:p>
      <w:pPr>
        <w:snapToGrid w:val="0"/>
        <w:spacing w:line="360" w:lineRule="auto"/>
        <w:ind w:firstLine="480" w:firstLineChars="200"/>
        <w:rPr>
          <w:color w:val="auto"/>
          <w:kern w:val="28"/>
          <w:sz w:val="24"/>
          <w:szCs w:val="24"/>
        </w:rPr>
      </w:pPr>
      <w:r>
        <w:rPr>
          <w:rFonts w:hint="eastAsia"/>
          <w:color w:val="auto"/>
          <w:kern w:val="28"/>
          <w:sz w:val="24"/>
          <w:szCs w:val="24"/>
          <w:lang w:val="en-US" w:eastAsia="zh-CN"/>
        </w:rPr>
        <w:t>9</w:t>
      </w:r>
      <w:r>
        <w:rPr>
          <w:color w:val="auto"/>
          <w:kern w:val="28"/>
          <w:sz w:val="24"/>
          <w:szCs w:val="24"/>
        </w:rPr>
        <w:t>、符合法律、行政法规规定及</w:t>
      </w:r>
      <w:r>
        <w:rPr>
          <w:rFonts w:hint="eastAsia"/>
          <w:color w:val="auto"/>
          <w:kern w:val="28"/>
          <w:sz w:val="24"/>
          <w:szCs w:val="24"/>
          <w:lang w:eastAsia="zh-CN"/>
        </w:rPr>
        <w:t>竞争性磋商文件</w:t>
      </w:r>
      <w:r>
        <w:rPr>
          <w:color w:val="auto"/>
          <w:kern w:val="28"/>
          <w:sz w:val="24"/>
          <w:szCs w:val="24"/>
        </w:rPr>
        <w:t>要求的其他条件。</w:t>
      </w:r>
    </w:p>
    <w:p>
      <w:pPr>
        <w:spacing w:line="360" w:lineRule="auto"/>
        <w:rPr>
          <w:b/>
          <w:sz w:val="24"/>
          <w:szCs w:val="24"/>
        </w:rPr>
      </w:pPr>
      <w:r>
        <w:rPr>
          <w:b/>
          <w:sz w:val="24"/>
          <w:szCs w:val="24"/>
        </w:rPr>
        <w:t>三、</w:t>
      </w:r>
      <w:r>
        <w:rPr>
          <w:rFonts w:hint="eastAsia"/>
          <w:b/>
          <w:sz w:val="24"/>
          <w:szCs w:val="24"/>
          <w:lang w:eastAsia="zh-CN"/>
        </w:rPr>
        <w:t>竞争性磋商文件</w:t>
      </w:r>
      <w:r>
        <w:rPr>
          <w:b/>
          <w:sz w:val="24"/>
          <w:szCs w:val="24"/>
        </w:rPr>
        <w:t>获取</w:t>
      </w:r>
    </w:p>
    <w:p>
      <w:pPr>
        <w:spacing w:line="360" w:lineRule="auto"/>
        <w:ind w:firstLine="480" w:firstLineChars="200"/>
        <w:rPr>
          <w:bCs/>
          <w:sz w:val="24"/>
          <w:szCs w:val="24"/>
        </w:rPr>
      </w:pPr>
      <w:r>
        <w:rPr>
          <w:bCs/>
          <w:sz w:val="24"/>
          <w:szCs w:val="24"/>
        </w:rPr>
        <w:t>1、发售标书时间：</w:t>
      </w:r>
      <w:r>
        <w:rPr>
          <w:rFonts w:hint="eastAsia"/>
          <w:bCs/>
          <w:sz w:val="24"/>
          <w:szCs w:val="24"/>
        </w:rPr>
        <w:t>202</w:t>
      </w:r>
      <w:r>
        <w:rPr>
          <w:rFonts w:hint="eastAsia"/>
          <w:bCs/>
          <w:sz w:val="24"/>
          <w:szCs w:val="24"/>
          <w:lang w:val="en-US" w:eastAsia="zh-CN"/>
        </w:rPr>
        <w:t>1</w:t>
      </w:r>
      <w:r>
        <w:rPr>
          <w:bCs/>
          <w:sz w:val="24"/>
          <w:szCs w:val="24"/>
        </w:rPr>
        <w:t>年</w:t>
      </w:r>
      <w:r>
        <w:rPr>
          <w:rFonts w:hint="eastAsia"/>
          <w:bCs/>
          <w:sz w:val="24"/>
          <w:szCs w:val="24"/>
          <w:lang w:val="en-US" w:eastAsia="zh-CN"/>
        </w:rPr>
        <w:t>05</w:t>
      </w:r>
      <w:r>
        <w:rPr>
          <w:bCs/>
          <w:sz w:val="24"/>
          <w:szCs w:val="24"/>
        </w:rPr>
        <w:t>月</w:t>
      </w:r>
      <w:r>
        <w:rPr>
          <w:rFonts w:hint="eastAsia"/>
          <w:bCs/>
          <w:sz w:val="24"/>
          <w:szCs w:val="24"/>
          <w:lang w:val="en-US" w:eastAsia="zh-CN"/>
        </w:rPr>
        <w:t>26</w:t>
      </w:r>
      <w:r>
        <w:rPr>
          <w:bCs/>
          <w:sz w:val="24"/>
          <w:szCs w:val="24"/>
        </w:rPr>
        <w:t>日08时30分至</w:t>
      </w:r>
      <w:r>
        <w:rPr>
          <w:rFonts w:hint="eastAsia"/>
          <w:bCs/>
          <w:sz w:val="24"/>
          <w:szCs w:val="24"/>
        </w:rPr>
        <w:t>202</w:t>
      </w:r>
      <w:r>
        <w:rPr>
          <w:rFonts w:hint="eastAsia"/>
          <w:bCs/>
          <w:sz w:val="24"/>
          <w:szCs w:val="24"/>
          <w:lang w:val="en-US" w:eastAsia="zh-CN"/>
        </w:rPr>
        <w:t>1</w:t>
      </w:r>
      <w:r>
        <w:rPr>
          <w:bCs/>
          <w:sz w:val="24"/>
          <w:szCs w:val="24"/>
        </w:rPr>
        <w:t>年</w:t>
      </w:r>
      <w:r>
        <w:rPr>
          <w:rFonts w:hint="eastAsia"/>
          <w:bCs/>
          <w:sz w:val="24"/>
          <w:szCs w:val="24"/>
          <w:lang w:val="en-US" w:eastAsia="zh-CN"/>
        </w:rPr>
        <w:t>06</w:t>
      </w:r>
      <w:r>
        <w:rPr>
          <w:bCs/>
          <w:sz w:val="24"/>
          <w:szCs w:val="24"/>
        </w:rPr>
        <w:t>月</w:t>
      </w:r>
      <w:r>
        <w:rPr>
          <w:rFonts w:hint="eastAsia"/>
          <w:bCs/>
          <w:sz w:val="24"/>
          <w:szCs w:val="24"/>
          <w:lang w:val="en-US" w:eastAsia="zh-CN"/>
        </w:rPr>
        <w:t>02</w:t>
      </w:r>
      <w:r>
        <w:rPr>
          <w:bCs/>
          <w:sz w:val="24"/>
          <w:szCs w:val="24"/>
        </w:rPr>
        <w:t>日17时30分（法定节假日、双休日除外）；</w:t>
      </w:r>
    </w:p>
    <w:p>
      <w:pPr>
        <w:spacing w:line="360" w:lineRule="auto"/>
        <w:ind w:firstLine="480" w:firstLineChars="200"/>
        <w:rPr>
          <w:bCs/>
          <w:sz w:val="24"/>
          <w:szCs w:val="24"/>
        </w:rPr>
      </w:pPr>
      <w:r>
        <w:rPr>
          <w:bCs/>
          <w:sz w:val="24"/>
          <w:szCs w:val="24"/>
        </w:rPr>
        <w:t>2、发售标书地点：</w:t>
      </w:r>
      <w:r>
        <w:rPr>
          <w:sz w:val="24"/>
          <w:szCs w:val="24"/>
        </w:rPr>
        <w:t>海南省海口市琼山区国兴大道海航豪庭南苑二期5栋2单元2302室</w:t>
      </w:r>
      <w:r>
        <w:rPr>
          <w:bCs/>
          <w:sz w:val="24"/>
          <w:szCs w:val="24"/>
        </w:rPr>
        <w:t>；</w:t>
      </w:r>
    </w:p>
    <w:p>
      <w:pPr>
        <w:spacing w:line="360" w:lineRule="auto"/>
        <w:ind w:firstLine="480" w:firstLineChars="200"/>
        <w:rPr>
          <w:bCs/>
          <w:sz w:val="24"/>
          <w:szCs w:val="24"/>
        </w:rPr>
      </w:pPr>
      <w:r>
        <w:rPr>
          <w:bCs/>
          <w:sz w:val="24"/>
          <w:szCs w:val="24"/>
        </w:rPr>
        <w:t>3、购买竞争性磋商文件时必须出示加盖公章的公司营业执照副本复印件、法人授权委托书、法定代表人及被授权人身份证复印件；</w:t>
      </w:r>
    </w:p>
    <w:p>
      <w:pPr>
        <w:spacing w:line="360" w:lineRule="auto"/>
        <w:ind w:firstLine="480" w:firstLineChars="200"/>
        <w:rPr>
          <w:bCs/>
          <w:sz w:val="24"/>
          <w:szCs w:val="24"/>
        </w:rPr>
      </w:pPr>
      <w:r>
        <w:rPr>
          <w:bCs/>
          <w:sz w:val="24"/>
          <w:szCs w:val="24"/>
        </w:rPr>
        <w:t>4、标书售价：</w:t>
      </w:r>
      <w:r>
        <w:rPr>
          <w:rFonts w:hint="eastAsia"/>
          <w:bCs/>
          <w:sz w:val="24"/>
          <w:szCs w:val="24"/>
          <w:lang w:eastAsia="zh-CN"/>
        </w:rPr>
        <w:t>竞争性磋商文件</w:t>
      </w:r>
      <w:r>
        <w:rPr>
          <w:bCs/>
          <w:sz w:val="24"/>
          <w:szCs w:val="24"/>
        </w:rPr>
        <w:t>每套售价</w:t>
      </w:r>
      <w:r>
        <w:rPr>
          <w:rFonts w:hint="eastAsia"/>
          <w:bCs/>
          <w:sz w:val="24"/>
          <w:szCs w:val="24"/>
          <w:lang w:val="en-US" w:eastAsia="zh-CN"/>
        </w:rPr>
        <w:t>2</w:t>
      </w:r>
      <w:r>
        <w:rPr>
          <w:bCs/>
          <w:sz w:val="24"/>
          <w:szCs w:val="24"/>
        </w:rPr>
        <w:t>00.00元，售后不退。</w:t>
      </w:r>
    </w:p>
    <w:p>
      <w:pPr>
        <w:spacing w:line="360" w:lineRule="auto"/>
        <w:ind w:firstLine="480" w:firstLineChars="200"/>
        <w:rPr>
          <w:bCs/>
          <w:sz w:val="24"/>
          <w:szCs w:val="24"/>
        </w:rPr>
      </w:pPr>
      <w:r>
        <w:rPr>
          <w:rFonts w:hint="eastAsia"/>
          <w:bCs/>
          <w:sz w:val="24"/>
          <w:szCs w:val="24"/>
          <w:lang w:val="en-US" w:eastAsia="zh-CN"/>
        </w:rPr>
        <w:t>5、</w:t>
      </w:r>
      <w:r>
        <w:rPr>
          <w:rFonts w:hint="eastAsia"/>
          <w:bCs/>
          <w:sz w:val="24"/>
          <w:szCs w:val="24"/>
          <w:lang w:eastAsia="zh-CN"/>
        </w:rPr>
        <w:t>供应商</w:t>
      </w:r>
      <w:r>
        <w:rPr>
          <w:rFonts w:hint="eastAsia"/>
          <w:bCs/>
          <w:sz w:val="24"/>
          <w:szCs w:val="24"/>
        </w:rPr>
        <w:t>提问截止时间：2021年</w:t>
      </w:r>
      <w:r>
        <w:rPr>
          <w:rFonts w:hint="eastAsia"/>
          <w:bCs/>
          <w:sz w:val="24"/>
          <w:szCs w:val="24"/>
          <w:lang w:val="en-US" w:eastAsia="zh-CN"/>
        </w:rPr>
        <w:t>06</w:t>
      </w:r>
      <w:r>
        <w:rPr>
          <w:rFonts w:hint="eastAsia"/>
          <w:bCs/>
          <w:sz w:val="24"/>
          <w:szCs w:val="24"/>
        </w:rPr>
        <w:t>月</w:t>
      </w:r>
      <w:r>
        <w:rPr>
          <w:rFonts w:hint="eastAsia"/>
          <w:bCs/>
          <w:sz w:val="24"/>
          <w:szCs w:val="24"/>
          <w:lang w:val="en-US" w:eastAsia="zh-CN"/>
        </w:rPr>
        <w:t>03</w:t>
      </w:r>
      <w:r>
        <w:rPr>
          <w:rFonts w:hint="eastAsia"/>
          <w:bCs/>
          <w:sz w:val="24"/>
          <w:szCs w:val="24"/>
        </w:rPr>
        <w:t>日17:30（北京时间）</w:t>
      </w:r>
    </w:p>
    <w:p>
      <w:pPr>
        <w:spacing w:line="360" w:lineRule="auto"/>
        <w:rPr>
          <w:b/>
          <w:sz w:val="24"/>
          <w:szCs w:val="24"/>
        </w:rPr>
      </w:pPr>
      <w:r>
        <w:rPr>
          <w:b/>
          <w:sz w:val="24"/>
          <w:szCs w:val="24"/>
        </w:rPr>
        <w:t>四、</w:t>
      </w:r>
      <w:r>
        <w:rPr>
          <w:rFonts w:hint="eastAsia"/>
          <w:b/>
          <w:sz w:val="24"/>
          <w:szCs w:val="24"/>
          <w:lang w:val="en-US" w:eastAsia="zh-CN"/>
        </w:rPr>
        <w:t>磋商</w:t>
      </w:r>
      <w:r>
        <w:rPr>
          <w:b/>
          <w:sz w:val="24"/>
          <w:szCs w:val="24"/>
        </w:rPr>
        <w:t>截止时间、开标时间及地点：</w:t>
      </w:r>
    </w:p>
    <w:p>
      <w:pPr>
        <w:spacing w:line="360" w:lineRule="auto"/>
        <w:ind w:firstLine="480" w:firstLineChars="200"/>
        <w:rPr>
          <w:bCs/>
          <w:sz w:val="24"/>
          <w:szCs w:val="24"/>
        </w:rPr>
      </w:pPr>
      <w:r>
        <w:rPr>
          <w:bCs/>
          <w:sz w:val="24"/>
          <w:szCs w:val="24"/>
        </w:rPr>
        <w:t>1、</w:t>
      </w:r>
      <w:r>
        <w:rPr>
          <w:rFonts w:hint="eastAsia"/>
          <w:bCs/>
          <w:sz w:val="24"/>
          <w:szCs w:val="24"/>
          <w:lang w:val="en-US" w:eastAsia="zh-CN"/>
        </w:rPr>
        <w:t>响应</w:t>
      </w:r>
      <w:r>
        <w:rPr>
          <w:bCs/>
          <w:sz w:val="24"/>
          <w:szCs w:val="24"/>
        </w:rPr>
        <w:t>文件递交截止时间：</w:t>
      </w:r>
      <w:r>
        <w:rPr>
          <w:rFonts w:hint="eastAsia"/>
          <w:bCs/>
          <w:sz w:val="24"/>
          <w:szCs w:val="24"/>
        </w:rPr>
        <w:t>20</w:t>
      </w:r>
      <w:r>
        <w:rPr>
          <w:rFonts w:hint="eastAsia"/>
          <w:bCs/>
          <w:sz w:val="24"/>
          <w:szCs w:val="24"/>
          <w:lang w:val="en-US" w:eastAsia="zh-CN"/>
        </w:rPr>
        <w:t>21</w:t>
      </w:r>
      <w:r>
        <w:rPr>
          <w:bCs/>
          <w:sz w:val="24"/>
          <w:szCs w:val="24"/>
        </w:rPr>
        <w:t>年</w:t>
      </w:r>
      <w:r>
        <w:rPr>
          <w:rFonts w:hint="eastAsia"/>
          <w:bCs/>
          <w:sz w:val="24"/>
          <w:szCs w:val="24"/>
          <w:lang w:val="en-US" w:eastAsia="zh-CN"/>
        </w:rPr>
        <w:t>06</w:t>
      </w:r>
      <w:r>
        <w:rPr>
          <w:bCs/>
          <w:sz w:val="24"/>
          <w:szCs w:val="24"/>
        </w:rPr>
        <w:t>月</w:t>
      </w:r>
      <w:r>
        <w:rPr>
          <w:rFonts w:hint="eastAsia"/>
          <w:bCs/>
          <w:sz w:val="24"/>
          <w:szCs w:val="24"/>
          <w:lang w:val="en-US" w:eastAsia="zh-CN"/>
        </w:rPr>
        <w:t>07</w:t>
      </w:r>
      <w:r>
        <w:rPr>
          <w:bCs/>
          <w:sz w:val="24"/>
          <w:szCs w:val="24"/>
        </w:rPr>
        <w:t>日</w:t>
      </w:r>
      <w:r>
        <w:rPr>
          <w:rFonts w:hint="eastAsia"/>
          <w:bCs/>
          <w:sz w:val="24"/>
          <w:szCs w:val="24"/>
          <w:lang w:val="en-US" w:eastAsia="zh-CN"/>
        </w:rPr>
        <w:t>上午</w:t>
      </w:r>
      <w:r>
        <w:rPr>
          <w:rFonts w:hint="eastAsia"/>
          <w:bCs/>
          <w:sz w:val="24"/>
          <w:szCs w:val="24"/>
        </w:rPr>
        <w:t>09</w:t>
      </w:r>
      <w:r>
        <w:rPr>
          <w:bCs/>
          <w:sz w:val="24"/>
          <w:szCs w:val="24"/>
        </w:rPr>
        <w:t>时</w:t>
      </w:r>
      <w:r>
        <w:rPr>
          <w:rFonts w:hint="eastAsia"/>
          <w:bCs/>
          <w:sz w:val="24"/>
          <w:szCs w:val="24"/>
          <w:lang w:val="en-US" w:eastAsia="zh-CN"/>
        </w:rPr>
        <w:t>0</w:t>
      </w:r>
      <w:r>
        <w:rPr>
          <w:rFonts w:hint="eastAsia"/>
          <w:bCs/>
          <w:sz w:val="24"/>
          <w:szCs w:val="24"/>
        </w:rPr>
        <w:t>0</w:t>
      </w:r>
      <w:r>
        <w:rPr>
          <w:bCs/>
          <w:sz w:val="24"/>
          <w:szCs w:val="24"/>
        </w:rPr>
        <w:t>分（北京时间）；</w:t>
      </w:r>
    </w:p>
    <w:p>
      <w:pPr>
        <w:spacing w:line="360" w:lineRule="auto"/>
        <w:ind w:firstLine="480" w:firstLineChars="200"/>
        <w:rPr>
          <w:bCs/>
          <w:sz w:val="24"/>
          <w:szCs w:val="24"/>
        </w:rPr>
      </w:pPr>
      <w:r>
        <w:rPr>
          <w:bCs/>
          <w:sz w:val="24"/>
          <w:szCs w:val="24"/>
        </w:rPr>
        <w:t>2、</w:t>
      </w:r>
      <w:r>
        <w:rPr>
          <w:rFonts w:hint="eastAsia"/>
          <w:bCs/>
          <w:sz w:val="24"/>
          <w:szCs w:val="24"/>
          <w:lang w:val="en-US" w:eastAsia="zh-CN"/>
        </w:rPr>
        <w:t>响应</w:t>
      </w:r>
      <w:r>
        <w:rPr>
          <w:bCs/>
          <w:sz w:val="24"/>
          <w:szCs w:val="24"/>
        </w:rPr>
        <w:t>文件递交地址(地点)：海南省海</w:t>
      </w:r>
      <w:bookmarkStart w:id="66" w:name="_GoBack"/>
      <w:bookmarkEnd w:id="66"/>
      <w:r>
        <w:rPr>
          <w:bCs/>
          <w:sz w:val="24"/>
          <w:szCs w:val="24"/>
        </w:rPr>
        <w:t>口市海秀东路74号鸿泰大厦14层开标室；</w:t>
      </w:r>
    </w:p>
    <w:p>
      <w:pPr>
        <w:spacing w:line="360" w:lineRule="auto"/>
        <w:ind w:firstLine="480" w:firstLineChars="200"/>
        <w:rPr>
          <w:bCs/>
          <w:sz w:val="24"/>
          <w:szCs w:val="24"/>
        </w:rPr>
      </w:pPr>
      <w:r>
        <w:rPr>
          <w:bCs/>
          <w:sz w:val="24"/>
          <w:szCs w:val="24"/>
        </w:rPr>
        <w:t>3、开标时间：</w:t>
      </w:r>
      <w:r>
        <w:rPr>
          <w:rFonts w:hint="eastAsia"/>
          <w:bCs/>
          <w:sz w:val="24"/>
          <w:szCs w:val="24"/>
        </w:rPr>
        <w:t>202</w:t>
      </w:r>
      <w:r>
        <w:rPr>
          <w:rFonts w:hint="eastAsia"/>
          <w:bCs/>
          <w:sz w:val="24"/>
          <w:szCs w:val="24"/>
          <w:lang w:val="en-US" w:eastAsia="zh-CN"/>
        </w:rPr>
        <w:t>1</w:t>
      </w:r>
      <w:r>
        <w:rPr>
          <w:bCs/>
          <w:sz w:val="24"/>
          <w:szCs w:val="24"/>
        </w:rPr>
        <w:t>年</w:t>
      </w:r>
      <w:r>
        <w:rPr>
          <w:rFonts w:hint="eastAsia"/>
          <w:bCs/>
          <w:sz w:val="24"/>
          <w:szCs w:val="24"/>
          <w:lang w:val="en-US" w:eastAsia="zh-CN"/>
        </w:rPr>
        <w:t>06</w:t>
      </w:r>
      <w:r>
        <w:rPr>
          <w:bCs/>
          <w:sz w:val="24"/>
          <w:szCs w:val="24"/>
        </w:rPr>
        <w:t>月</w:t>
      </w:r>
      <w:r>
        <w:rPr>
          <w:rFonts w:hint="eastAsia"/>
          <w:bCs/>
          <w:sz w:val="24"/>
          <w:szCs w:val="24"/>
          <w:lang w:val="en-US" w:eastAsia="zh-CN"/>
        </w:rPr>
        <w:t>07</w:t>
      </w:r>
      <w:r>
        <w:rPr>
          <w:bCs/>
          <w:sz w:val="24"/>
          <w:szCs w:val="24"/>
        </w:rPr>
        <w:t>日</w:t>
      </w:r>
      <w:r>
        <w:rPr>
          <w:rFonts w:hint="eastAsia"/>
          <w:bCs/>
          <w:sz w:val="24"/>
          <w:szCs w:val="24"/>
          <w:lang w:val="en-US" w:eastAsia="zh-CN"/>
        </w:rPr>
        <w:t>上午</w:t>
      </w:r>
      <w:r>
        <w:rPr>
          <w:rFonts w:hint="eastAsia"/>
          <w:bCs/>
          <w:sz w:val="24"/>
          <w:szCs w:val="24"/>
        </w:rPr>
        <w:t>09</w:t>
      </w:r>
      <w:r>
        <w:rPr>
          <w:bCs/>
          <w:sz w:val="24"/>
          <w:szCs w:val="24"/>
        </w:rPr>
        <w:t>时</w:t>
      </w:r>
      <w:r>
        <w:rPr>
          <w:rFonts w:hint="eastAsia"/>
          <w:bCs/>
          <w:sz w:val="24"/>
          <w:szCs w:val="24"/>
          <w:lang w:val="en-US" w:eastAsia="zh-CN"/>
        </w:rPr>
        <w:t>0</w:t>
      </w:r>
      <w:r>
        <w:rPr>
          <w:rFonts w:hint="eastAsia"/>
          <w:bCs/>
          <w:sz w:val="24"/>
          <w:szCs w:val="24"/>
        </w:rPr>
        <w:t>0</w:t>
      </w:r>
      <w:r>
        <w:rPr>
          <w:bCs/>
          <w:sz w:val="24"/>
          <w:szCs w:val="24"/>
        </w:rPr>
        <w:t>分（北京时间）；</w:t>
      </w:r>
    </w:p>
    <w:p>
      <w:pPr>
        <w:spacing w:line="360" w:lineRule="auto"/>
        <w:ind w:firstLine="480" w:firstLineChars="200"/>
      </w:pPr>
      <w:r>
        <w:rPr>
          <w:bCs/>
          <w:sz w:val="24"/>
          <w:szCs w:val="24"/>
        </w:rPr>
        <w:t>4、开标地点：海南省海口市海秀东路74号鸿泰大厦14层开标室。</w:t>
      </w:r>
    </w:p>
    <w:p>
      <w:pPr>
        <w:spacing w:line="360" w:lineRule="auto"/>
        <w:rPr>
          <w:b/>
          <w:sz w:val="24"/>
          <w:szCs w:val="24"/>
        </w:rPr>
      </w:pPr>
      <w:r>
        <w:rPr>
          <w:b/>
          <w:sz w:val="24"/>
          <w:szCs w:val="24"/>
        </w:rPr>
        <w:t>五、采购信息发布媒体</w:t>
      </w:r>
    </w:p>
    <w:p>
      <w:pPr>
        <w:spacing w:line="360" w:lineRule="auto"/>
        <w:ind w:firstLine="480" w:firstLineChars="200"/>
        <w:rPr>
          <w:bCs/>
          <w:sz w:val="24"/>
          <w:szCs w:val="24"/>
        </w:rPr>
      </w:pPr>
      <w:r>
        <w:rPr>
          <w:rFonts w:hint="eastAsia"/>
          <w:bCs/>
          <w:sz w:val="24"/>
          <w:szCs w:val="24"/>
          <w:lang w:val="en-US" w:eastAsia="zh-CN"/>
        </w:rPr>
        <w:t>中国政府采购网</w:t>
      </w:r>
      <w:r>
        <w:rPr>
          <w:bCs/>
          <w:sz w:val="24"/>
          <w:szCs w:val="24"/>
        </w:rPr>
        <w:t>、中国采购与招标网</w:t>
      </w:r>
      <w:r>
        <w:rPr>
          <w:rFonts w:hint="eastAsia"/>
          <w:bCs/>
          <w:sz w:val="24"/>
          <w:szCs w:val="24"/>
        </w:rPr>
        <w:t>、海南省自然资源和规划厅门户网站</w:t>
      </w:r>
      <w:r>
        <w:rPr>
          <w:bCs/>
          <w:sz w:val="24"/>
          <w:szCs w:val="24"/>
        </w:rPr>
        <w:t>。</w:t>
      </w:r>
    </w:p>
    <w:p>
      <w:pPr>
        <w:spacing w:line="360" w:lineRule="auto"/>
        <w:rPr>
          <w:b/>
          <w:sz w:val="24"/>
          <w:szCs w:val="24"/>
        </w:rPr>
      </w:pPr>
      <w:r>
        <w:rPr>
          <w:rFonts w:hint="eastAsia"/>
          <w:b/>
          <w:sz w:val="24"/>
          <w:szCs w:val="24"/>
        </w:rPr>
        <w:t>六</w:t>
      </w:r>
      <w:r>
        <w:rPr>
          <w:b/>
          <w:sz w:val="24"/>
          <w:szCs w:val="24"/>
        </w:rPr>
        <w:t>、采购人及采购代理机构联系方式</w:t>
      </w:r>
    </w:p>
    <w:p>
      <w:pPr>
        <w:tabs>
          <w:tab w:val="left" w:pos="7473"/>
        </w:tabs>
        <w:spacing w:line="360" w:lineRule="auto"/>
        <w:ind w:firstLine="480" w:firstLineChars="200"/>
        <w:rPr>
          <w:rFonts w:hint="eastAsia" w:eastAsia="宋体"/>
          <w:sz w:val="24"/>
          <w:szCs w:val="24"/>
          <w:lang w:eastAsia="zh-CN"/>
        </w:rPr>
      </w:pPr>
      <w:r>
        <w:rPr>
          <w:sz w:val="24"/>
          <w:szCs w:val="24"/>
        </w:rPr>
        <w:t>采购人名称：</w:t>
      </w:r>
      <w:r>
        <w:rPr>
          <w:rFonts w:hint="eastAsia"/>
          <w:sz w:val="24"/>
          <w:szCs w:val="24"/>
          <w:lang w:eastAsia="zh-CN"/>
        </w:rPr>
        <w:t>海南省自然资源和规划厅</w:t>
      </w:r>
    </w:p>
    <w:p>
      <w:pPr>
        <w:tabs>
          <w:tab w:val="left" w:pos="7473"/>
        </w:tabs>
        <w:spacing w:line="360" w:lineRule="auto"/>
        <w:ind w:firstLine="480" w:firstLineChars="200"/>
        <w:rPr>
          <w:sz w:val="24"/>
          <w:szCs w:val="24"/>
        </w:rPr>
      </w:pPr>
      <w:r>
        <w:rPr>
          <w:sz w:val="24"/>
          <w:szCs w:val="24"/>
        </w:rPr>
        <w:t>采购人地址：</w:t>
      </w:r>
      <w:r>
        <w:rPr>
          <w:rFonts w:hint="eastAsia"/>
          <w:sz w:val="24"/>
          <w:szCs w:val="24"/>
          <w:lang w:val="en-US" w:eastAsia="zh-CN"/>
        </w:rPr>
        <w:t>海南省海</w:t>
      </w:r>
      <w:r>
        <w:rPr>
          <w:rFonts w:hint="eastAsia"/>
          <w:sz w:val="24"/>
          <w:szCs w:val="24"/>
        </w:rPr>
        <w:t>口市美兰区美贤路9号</w:t>
      </w:r>
    </w:p>
    <w:p>
      <w:pPr>
        <w:tabs>
          <w:tab w:val="left" w:pos="7473"/>
        </w:tabs>
        <w:spacing w:line="360" w:lineRule="auto"/>
        <w:ind w:firstLine="480" w:firstLineChars="200"/>
        <w:rPr>
          <w:rFonts w:hint="default" w:eastAsia="宋体"/>
          <w:sz w:val="24"/>
          <w:szCs w:val="24"/>
          <w:lang w:val="en-US" w:eastAsia="zh-CN"/>
        </w:rPr>
      </w:pPr>
      <w:r>
        <w:rPr>
          <w:sz w:val="24"/>
          <w:szCs w:val="24"/>
        </w:rPr>
        <w:t>联系人：</w:t>
      </w:r>
      <w:r>
        <w:rPr>
          <w:rFonts w:hint="eastAsia"/>
          <w:sz w:val="24"/>
          <w:szCs w:val="24"/>
          <w:lang w:val="en-US" w:eastAsia="zh-CN"/>
        </w:rPr>
        <w:t>王小姐</w:t>
      </w:r>
    </w:p>
    <w:p>
      <w:pPr>
        <w:tabs>
          <w:tab w:val="left" w:pos="7473"/>
        </w:tabs>
        <w:spacing w:line="360" w:lineRule="auto"/>
        <w:ind w:firstLine="480" w:firstLineChars="200"/>
        <w:rPr>
          <w:sz w:val="24"/>
          <w:szCs w:val="24"/>
        </w:rPr>
      </w:pPr>
      <w:r>
        <w:rPr>
          <w:sz w:val="24"/>
          <w:szCs w:val="24"/>
        </w:rPr>
        <w:t>联系电话：0898-</w:t>
      </w:r>
      <w:r>
        <w:rPr>
          <w:rFonts w:hint="eastAsia"/>
          <w:sz w:val="24"/>
          <w:szCs w:val="24"/>
        </w:rPr>
        <w:t>65382275</w:t>
      </w:r>
    </w:p>
    <w:p>
      <w:pPr>
        <w:tabs>
          <w:tab w:val="left" w:pos="7473"/>
        </w:tabs>
        <w:spacing w:line="360" w:lineRule="auto"/>
        <w:ind w:firstLine="480" w:firstLineChars="200"/>
        <w:rPr>
          <w:sz w:val="24"/>
          <w:szCs w:val="24"/>
        </w:rPr>
      </w:pPr>
      <w:r>
        <w:rPr>
          <w:sz w:val="24"/>
          <w:szCs w:val="24"/>
        </w:rPr>
        <w:t>采购代理机构名称：海南华夏世纪项目管理有限公司</w:t>
      </w:r>
    </w:p>
    <w:p>
      <w:pPr>
        <w:tabs>
          <w:tab w:val="left" w:pos="7473"/>
        </w:tabs>
        <w:spacing w:line="360" w:lineRule="auto"/>
        <w:ind w:firstLine="480" w:firstLineChars="200"/>
        <w:rPr>
          <w:sz w:val="24"/>
          <w:szCs w:val="24"/>
        </w:rPr>
      </w:pPr>
      <w:r>
        <w:rPr>
          <w:sz w:val="24"/>
          <w:szCs w:val="24"/>
        </w:rPr>
        <w:t>采购代理机构地点：海南省海口市琼山区国兴大道海航豪庭南苑二期5栋2单元2302室</w:t>
      </w:r>
    </w:p>
    <w:p>
      <w:pPr>
        <w:tabs>
          <w:tab w:val="left" w:pos="7473"/>
        </w:tabs>
        <w:spacing w:line="360" w:lineRule="auto"/>
        <w:ind w:firstLine="480" w:firstLineChars="200"/>
        <w:rPr>
          <w:sz w:val="24"/>
          <w:szCs w:val="24"/>
        </w:rPr>
      </w:pPr>
      <w:r>
        <w:rPr>
          <w:sz w:val="24"/>
          <w:szCs w:val="24"/>
        </w:rPr>
        <w:t>项目联系人：</w:t>
      </w:r>
      <w:r>
        <w:rPr>
          <w:rFonts w:hint="eastAsia"/>
          <w:sz w:val="24"/>
          <w:szCs w:val="24"/>
        </w:rPr>
        <w:t>容</w:t>
      </w:r>
      <w:r>
        <w:rPr>
          <w:sz w:val="24"/>
          <w:szCs w:val="24"/>
        </w:rPr>
        <w:t>工</w:t>
      </w:r>
    </w:p>
    <w:p>
      <w:pPr>
        <w:tabs>
          <w:tab w:val="left" w:pos="7473"/>
        </w:tabs>
        <w:spacing w:line="360" w:lineRule="auto"/>
        <w:ind w:firstLine="480" w:firstLineChars="200"/>
        <w:rPr>
          <w:sz w:val="24"/>
          <w:szCs w:val="24"/>
        </w:rPr>
      </w:pPr>
      <w:r>
        <w:rPr>
          <w:sz w:val="24"/>
          <w:szCs w:val="24"/>
        </w:rPr>
        <w:t>联系电话：0898-65220227</w:t>
      </w:r>
    </w:p>
    <w:p/>
    <w:p>
      <w:pPr>
        <w:rPr>
          <w:rFonts w:hint="eastAsia"/>
        </w:rPr>
      </w:pPr>
      <w:r>
        <w:rPr>
          <w:rFonts w:hint="eastAsia"/>
        </w:rPr>
        <w:br w:type="page"/>
      </w:r>
    </w:p>
    <w:p>
      <w:pPr>
        <w:pStyle w:val="2"/>
        <w:bidi w:val="0"/>
        <w:rPr>
          <w:rFonts w:hint="eastAsia"/>
        </w:rPr>
      </w:pPr>
      <w:r>
        <w:rPr>
          <w:rFonts w:hint="eastAsia"/>
        </w:rPr>
        <w:t>第二章</w:t>
      </w:r>
      <w:r>
        <w:rPr>
          <w:rFonts w:hint="eastAsia"/>
        </w:rPr>
        <w:tab/>
      </w:r>
      <w:r>
        <w:rPr>
          <w:rFonts w:hint="eastAsia"/>
        </w:rPr>
        <w:t>供应商须知</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一、总则</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1.名词解释</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1.1采购人：海南省自然资源和规划厅</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1.2招标代理机构：海南华夏世纪项目管理有限公司</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1.3供应商：已从招标代理机构购买磋商文件并向招标代理机构提交响应文件的供应商。</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2.适用范围</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本磋商文件仅适用于招标代理机构组织的本次报价活动。</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3．合格的供应商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3.1 凡有能力按照本磋商文件规定的要求交付货物、服务和工程的供货商均为合格的供应商。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3.2 供应商参加本次政府采购活动应当符合《中华人民共和国政府采购法》第二十二条的规定，并具备本磋商文件第一章“供应商资格要求”规定的条件。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3.</w:t>
      </w:r>
      <w:r>
        <w:rPr>
          <w:rFonts w:hint="eastAsia"/>
          <w:sz w:val="24"/>
          <w:szCs w:val="24"/>
          <w:lang w:val="en-US" w:eastAsia="zh-CN"/>
        </w:rPr>
        <w:t>3</w:t>
      </w:r>
      <w:r>
        <w:rPr>
          <w:rFonts w:hint="eastAsia"/>
          <w:sz w:val="24"/>
          <w:szCs w:val="24"/>
        </w:rPr>
        <w:t xml:space="preserve"> 单位负责人为同一人或者存在直接控股、管理关系的不同供应商，不得参加同一合同项下的政府采购活动。除单一来源采购项目外，为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3.</w:t>
      </w:r>
      <w:r>
        <w:rPr>
          <w:rFonts w:hint="eastAsia"/>
          <w:sz w:val="24"/>
          <w:szCs w:val="24"/>
          <w:lang w:val="en-US" w:eastAsia="zh-CN"/>
        </w:rPr>
        <w:t>4</w:t>
      </w:r>
      <w:r>
        <w:rPr>
          <w:rFonts w:hint="eastAsia"/>
          <w:sz w:val="24"/>
          <w:szCs w:val="24"/>
        </w:rPr>
        <w:t xml:space="preserve"> 供应商在本项目招标公告前三年内被列入失信被执行人、重大税收违法案件当事人名单、政府采购严重违法失信行为记录名单，以及存在其他不符合《中华人民共和国政府采购法》第二十二条规定条件的情况的供应商不得参与投标。</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信用记录以“信用中国”网站（www.creditchina.gov.cn）或中国政府采购网</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（www.ccgp.gov.cn）上公布的信用记录为准（根据《财库〔2019〕38 号》文的规定，供应商投标时不需提供）。</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3.</w:t>
      </w:r>
      <w:r>
        <w:rPr>
          <w:rFonts w:hint="eastAsia"/>
          <w:sz w:val="24"/>
          <w:szCs w:val="24"/>
          <w:lang w:val="en-US" w:eastAsia="zh-CN"/>
        </w:rPr>
        <w:t>5</w:t>
      </w:r>
      <w:r>
        <w:rPr>
          <w:rFonts w:hint="eastAsia"/>
          <w:sz w:val="24"/>
          <w:szCs w:val="24"/>
        </w:rPr>
        <w:t xml:space="preserve"> 供应商应遵守中华人民共和国的有关法律、法规。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4．</w:t>
      </w:r>
      <w:r>
        <w:rPr>
          <w:rFonts w:hint="eastAsia"/>
          <w:sz w:val="24"/>
          <w:szCs w:val="24"/>
          <w:lang w:val="en-US" w:eastAsia="zh-CN"/>
        </w:rPr>
        <w:t>磋商</w:t>
      </w:r>
      <w:r>
        <w:rPr>
          <w:rFonts w:hint="eastAsia"/>
          <w:sz w:val="24"/>
          <w:szCs w:val="24"/>
        </w:rPr>
        <w:t>费用</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无论</w:t>
      </w:r>
      <w:r>
        <w:rPr>
          <w:rFonts w:hint="eastAsia"/>
          <w:sz w:val="24"/>
          <w:szCs w:val="24"/>
          <w:lang w:val="en-US" w:eastAsia="zh-CN"/>
        </w:rPr>
        <w:t>磋商</w:t>
      </w:r>
      <w:r>
        <w:rPr>
          <w:rFonts w:hint="eastAsia"/>
          <w:sz w:val="24"/>
          <w:szCs w:val="24"/>
        </w:rPr>
        <w:t>报价过程中的做法和结果如何，供应商均自行承担所有与参加报价有关的全部费用。</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5.磋商文件的约束力</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供应商一旦参加本项目报价，即被认为接受了本磋商文件中的所有条件和规定。</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二、磋商文件</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6.磋商文件的组成</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 xml:space="preserve">6.l磋商文件由六部分组成，包括： </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第一章</w:t>
      </w:r>
      <w:r>
        <w:rPr>
          <w:rFonts w:hint="eastAsia"/>
          <w:sz w:val="24"/>
          <w:szCs w:val="24"/>
        </w:rPr>
        <w:tab/>
      </w:r>
      <w:r>
        <w:rPr>
          <w:rFonts w:hint="eastAsia"/>
          <w:sz w:val="24"/>
          <w:szCs w:val="24"/>
        </w:rPr>
        <w:t>竞争性磋商采购公告</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80" w:firstLineChars="200"/>
        <w:textAlignment w:val="auto"/>
        <w:rPr>
          <w:rFonts w:hint="eastAsia"/>
          <w:sz w:val="24"/>
          <w:szCs w:val="24"/>
        </w:rPr>
      </w:pPr>
      <w:r>
        <w:rPr>
          <w:rFonts w:hint="eastAsia"/>
          <w:sz w:val="24"/>
          <w:szCs w:val="24"/>
          <w:lang w:val="en-US" w:eastAsia="zh-CN"/>
        </w:rPr>
        <w:t xml:space="preserve">第二章 </w:t>
      </w:r>
      <w:r>
        <w:rPr>
          <w:rFonts w:hint="eastAsia"/>
          <w:sz w:val="24"/>
          <w:szCs w:val="24"/>
        </w:rPr>
        <w:t>供应商须知</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80" w:firstLineChars="200"/>
        <w:textAlignment w:val="auto"/>
        <w:rPr>
          <w:rFonts w:hint="eastAsia"/>
          <w:sz w:val="24"/>
          <w:szCs w:val="24"/>
        </w:rPr>
      </w:pPr>
      <w:r>
        <w:rPr>
          <w:rFonts w:hint="eastAsia"/>
          <w:sz w:val="24"/>
          <w:szCs w:val="24"/>
        </w:rPr>
        <w:t>第三章 采购需求书</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80" w:firstLineChars="200"/>
        <w:textAlignment w:val="auto"/>
        <w:rPr>
          <w:rFonts w:hint="eastAsia"/>
          <w:sz w:val="24"/>
          <w:szCs w:val="24"/>
        </w:rPr>
      </w:pPr>
      <w:r>
        <w:rPr>
          <w:rFonts w:hint="eastAsia"/>
          <w:sz w:val="24"/>
          <w:szCs w:val="24"/>
        </w:rPr>
        <w:t>第四章 合同条款</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第五章 响应文件内容和格式</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第六章 磋商程序</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请仔细检查磋商文件是否齐全，如有缺漏，请立即与招标代理机构联系解决。</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6.2供应商被视为充分熟悉本招标项目所在地的与履行合同有关的各种情况， 包括自然环境、气候条件、劳动力及公用设施等，本磋商文件不再对上述情况进行描述。</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6.3供应商必须详阅磋商文件的所有条款、文件及表格格式。供应商若未按磋商文件的要求和规范编制、提交响应文件，将有可能导致响应文件被拒绝接受，所造成的负面后果由供应商负责。</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7.磋商文件的澄清</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供应商在收到磋商文件后，若有疑问需要澄清，应于磋商</w:t>
      </w:r>
      <w:r>
        <w:rPr>
          <w:rFonts w:hint="eastAsia"/>
          <w:sz w:val="24"/>
          <w:szCs w:val="24"/>
          <w:lang w:val="en-US" w:eastAsia="zh-CN"/>
        </w:rPr>
        <w:t>截止</w:t>
      </w:r>
      <w:r>
        <w:rPr>
          <w:rFonts w:hint="eastAsia"/>
          <w:sz w:val="24"/>
          <w:szCs w:val="24"/>
        </w:rPr>
        <w:t>时间一个工作日前以书面形式向招标代理机构提出，招标代理机构将以书面形式进行答复，同时招标代理机构有权将答复内容（包括所提问题，但不包括问题来源）分发给所有购买了同一磋商文件的供应商。</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8.磋商文件的更正或补充</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8.1 在磋商</w:t>
      </w:r>
      <w:r>
        <w:rPr>
          <w:rFonts w:hint="eastAsia"/>
          <w:sz w:val="24"/>
          <w:szCs w:val="24"/>
          <w:lang w:val="en-US" w:eastAsia="zh-CN"/>
        </w:rPr>
        <w:t>截止</w:t>
      </w:r>
      <w:r>
        <w:rPr>
          <w:rFonts w:hint="eastAsia"/>
          <w:sz w:val="24"/>
          <w:szCs w:val="24"/>
        </w:rPr>
        <w:t>时间前，招标代理机构可以书面通知的方式修改磋商文件。修改通知作为磋商文件的组成部分，对供应商起同等约束作用。</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8.2 当磋商文件与更正公告的内容相互矛盾时，以招标代理机构最后发出的更正公告为准。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8.3 为使供应商有足够的时间按磋商文件的更正要求修正响应文件，招标代理机构有权决定推迟磋商日期，并将此变更书面通知所有购买了同一磋商文件的供应商。</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三、响应文件</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9.响应文件的组成</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响应文件应按“第五章 响应文件内容和格式”要求编制。</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10．报价</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10.1</w:t>
      </w:r>
      <w:r>
        <w:rPr>
          <w:rFonts w:hint="eastAsia"/>
          <w:sz w:val="24"/>
          <w:szCs w:val="24"/>
          <w:lang w:val="en-US" w:eastAsia="zh-CN"/>
        </w:rPr>
        <w:t xml:space="preserve"> </w:t>
      </w:r>
      <w:r>
        <w:rPr>
          <w:rFonts w:hint="eastAsia"/>
          <w:sz w:val="24"/>
          <w:szCs w:val="24"/>
        </w:rPr>
        <w:t>供应商应按开标一览表的要求报价，并且该报价在所有的响应文件中必须是统一的报价。</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10.2</w:t>
      </w:r>
      <w:r>
        <w:rPr>
          <w:rFonts w:hint="eastAsia"/>
          <w:sz w:val="24"/>
          <w:szCs w:val="24"/>
          <w:lang w:val="en-US" w:eastAsia="zh-CN"/>
        </w:rPr>
        <w:t xml:space="preserve"> </w:t>
      </w:r>
      <w:r>
        <w:rPr>
          <w:rFonts w:hint="eastAsia"/>
          <w:sz w:val="24"/>
          <w:szCs w:val="24"/>
        </w:rPr>
        <w:t>报价均须以人民币为计算单位。</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11．磋商保证金</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11.1</w:t>
      </w:r>
      <w:r>
        <w:rPr>
          <w:rFonts w:hint="eastAsia"/>
          <w:sz w:val="24"/>
          <w:szCs w:val="24"/>
          <w:lang w:val="en-US" w:eastAsia="zh-CN"/>
        </w:rPr>
        <w:t xml:space="preserve"> </w:t>
      </w:r>
      <w:r>
        <w:rPr>
          <w:rFonts w:hint="eastAsia"/>
          <w:sz w:val="24"/>
          <w:szCs w:val="24"/>
        </w:rPr>
        <w:t>磋商保证金是参加本项目投标的必要条件，保证金支付要求如下：</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 xml:space="preserve">11.1.1 </w:t>
      </w:r>
      <w:r>
        <w:rPr>
          <w:rFonts w:hint="eastAsia"/>
          <w:sz w:val="24"/>
          <w:szCs w:val="24"/>
          <w:lang w:eastAsia="zh-CN"/>
        </w:rPr>
        <w:t>磋商保证金</w:t>
      </w:r>
      <w:r>
        <w:rPr>
          <w:rFonts w:hint="eastAsia"/>
          <w:sz w:val="24"/>
          <w:szCs w:val="24"/>
        </w:rPr>
        <w:t>的金额：人民币10000.00元；</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11.1.2 保证金到账截止日期：2021年</w:t>
      </w:r>
      <w:r>
        <w:rPr>
          <w:rFonts w:hint="eastAsia"/>
          <w:sz w:val="24"/>
          <w:szCs w:val="24"/>
          <w:lang w:val="en-US" w:eastAsia="zh-CN"/>
        </w:rPr>
        <w:t>06</w:t>
      </w:r>
      <w:r>
        <w:rPr>
          <w:rFonts w:hint="eastAsia"/>
          <w:sz w:val="24"/>
          <w:szCs w:val="24"/>
        </w:rPr>
        <w:t>月</w:t>
      </w:r>
      <w:r>
        <w:rPr>
          <w:rFonts w:hint="eastAsia"/>
          <w:sz w:val="24"/>
          <w:szCs w:val="24"/>
          <w:lang w:val="en-US" w:eastAsia="zh-CN"/>
        </w:rPr>
        <w:t>07</w:t>
      </w:r>
      <w:r>
        <w:rPr>
          <w:rFonts w:hint="eastAsia"/>
          <w:sz w:val="24"/>
          <w:szCs w:val="24"/>
        </w:rPr>
        <w:t>日</w:t>
      </w:r>
      <w:r>
        <w:rPr>
          <w:rFonts w:hint="eastAsia"/>
          <w:sz w:val="24"/>
          <w:szCs w:val="24"/>
          <w:lang w:val="en-US" w:eastAsia="zh-CN"/>
        </w:rPr>
        <w:t>上</w:t>
      </w:r>
      <w:r>
        <w:rPr>
          <w:rFonts w:hint="eastAsia"/>
          <w:sz w:val="24"/>
          <w:szCs w:val="24"/>
        </w:rPr>
        <w:t>午</w:t>
      </w:r>
      <w:r>
        <w:rPr>
          <w:rFonts w:hint="eastAsia"/>
          <w:sz w:val="24"/>
          <w:szCs w:val="24"/>
          <w:lang w:val="en-US" w:eastAsia="zh-CN"/>
        </w:rPr>
        <w:t>09</w:t>
      </w:r>
      <w:r>
        <w:rPr>
          <w:rFonts w:hint="eastAsia"/>
          <w:sz w:val="24"/>
          <w:szCs w:val="24"/>
        </w:rPr>
        <w:t>:</w:t>
      </w:r>
      <w:r>
        <w:rPr>
          <w:rFonts w:hint="eastAsia"/>
          <w:sz w:val="24"/>
          <w:szCs w:val="24"/>
          <w:lang w:val="en-US" w:eastAsia="zh-CN"/>
        </w:rPr>
        <w:t>0</w:t>
      </w:r>
      <w:r>
        <w:rPr>
          <w:rFonts w:hint="eastAsia"/>
          <w:sz w:val="24"/>
          <w:szCs w:val="24"/>
        </w:rPr>
        <w:t>0；</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 xml:space="preserve">11.1.3 </w:t>
      </w:r>
      <w:r>
        <w:rPr>
          <w:rFonts w:hint="eastAsia"/>
          <w:sz w:val="24"/>
          <w:szCs w:val="24"/>
          <w:lang w:eastAsia="zh-CN"/>
        </w:rPr>
        <w:t>磋商保证金</w:t>
      </w:r>
      <w:r>
        <w:rPr>
          <w:rFonts w:hint="eastAsia"/>
          <w:sz w:val="24"/>
          <w:szCs w:val="24"/>
        </w:rPr>
        <w:t>应到达以下指定账户并注明汇款单位、项目名称、包号（如有）：</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11.1.4 开户户名：海南华夏世纪项目管理有限公司</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11.1.5 开户银行：中国光大银行海口蓝天支行</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11.1.6 开户账号：3923 0188 0002 3345 4</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11.2</w:t>
      </w:r>
      <w:r>
        <w:rPr>
          <w:rFonts w:hint="eastAsia"/>
          <w:sz w:val="24"/>
          <w:szCs w:val="24"/>
          <w:lang w:val="en-US" w:eastAsia="zh-CN"/>
        </w:rPr>
        <w:t xml:space="preserve"> </w:t>
      </w:r>
      <w:r>
        <w:rPr>
          <w:rFonts w:hint="eastAsia"/>
          <w:sz w:val="24"/>
          <w:szCs w:val="24"/>
        </w:rPr>
        <w:t>若供应商不提交磋商保证金，其响应文件将被拒绝接受。</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11.3</w:t>
      </w:r>
      <w:r>
        <w:rPr>
          <w:rFonts w:hint="eastAsia"/>
          <w:sz w:val="24"/>
          <w:szCs w:val="24"/>
          <w:lang w:val="en-US" w:eastAsia="zh-CN"/>
        </w:rPr>
        <w:t xml:space="preserve"> </w:t>
      </w:r>
      <w:r>
        <w:rPr>
          <w:rFonts w:hint="eastAsia"/>
          <w:sz w:val="24"/>
          <w:szCs w:val="24"/>
        </w:rPr>
        <w:t>磋商保证金的退还</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11.3.l 成交供应商的磋商保证金在其与采购人签订了采购合同后 5 个工作日内无息退还</w:t>
      </w:r>
      <w:r>
        <w:rPr>
          <w:rFonts w:hint="eastAsia"/>
          <w:sz w:val="24"/>
          <w:szCs w:val="24"/>
          <w:lang w:eastAsia="zh-CN"/>
        </w:rPr>
        <w:t>；</w:t>
      </w:r>
      <w:r>
        <w:rPr>
          <w:rFonts w:hint="eastAsia"/>
          <w:sz w:val="24"/>
          <w:szCs w:val="24"/>
          <w:lang w:val="en-US" w:eastAsia="zh-CN"/>
        </w:rPr>
        <w:t>未</w:t>
      </w:r>
      <w:r>
        <w:rPr>
          <w:rFonts w:hint="eastAsia"/>
          <w:sz w:val="24"/>
          <w:szCs w:val="24"/>
        </w:rPr>
        <w:t>成交供应商的磋商保证金将在发出成交通知书 5 个工作日内无息退还。</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11.3.2 磋商保证金为海南华夏世纪项目管理有限公司收取，则成交结果公告期</w:t>
      </w:r>
      <w:r>
        <w:rPr>
          <w:rFonts w:hint="eastAsia"/>
          <w:sz w:val="24"/>
          <w:szCs w:val="24"/>
          <w:lang w:val="en-US" w:eastAsia="zh-CN"/>
        </w:rPr>
        <w:t>届</w:t>
      </w:r>
      <w:r>
        <w:rPr>
          <w:rFonts w:hint="eastAsia"/>
          <w:sz w:val="24"/>
          <w:szCs w:val="24"/>
        </w:rPr>
        <w:t>满</w:t>
      </w:r>
      <w:r>
        <w:rPr>
          <w:rFonts w:hint="eastAsia"/>
          <w:sz w:val="24"/>
          <w:szCs w:val="24"/>
          <w:lang w:val="en-US" w:eastAsia="zh-CN"/>
        </w:rPr>
        <w:t>之日起2个工作日内</w:t>
      </w:r>
      <w:r>
        <w:rPr>
          <w:rFonts w:hint="eastAsia"/>
          <w:sz w:val="24"/>
          <w:szCs w:val="24"/>
        </w:rPr>
        <w:t>， 供应商应把磋商保证金退还申请函（必须注明项目名称、金额以及退还的银行账户）</w:t>
      </w:r>
      <w:r>
        <w:rPr>
          <w:rFonts w:hint="eastAsia"/>
          <w:sz w:val="24"/>
          <w:szCs w:val="24"/>
          <w:lang w:val="en-US" w:eastAsia="zh-CN"/>
        </w:rPr>
        <w:t>交到海南华夏世纪项目有限公司</w:t>
      </w:r>
      <w:r>
        <w:rPr>
          <w:rFonts w:hint="eastAsia"/>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11.4</w:t>
      </w:r>
      <w:r>
        <w:rPr>
          <w:rFonts w:hint="eastAsia"/>
          <w:sz w:val="24"/>
          <w:szCs w:val="24"/>
          <w:lang w:val="en-US" w:eastAsia="zh-CN"/>
        </w:rPr>
        <w:t xml:space="preserve"> </w:t>
      </w:r>
      <w:r>
        <w:rPr>
          <w:rFonts w:hint="eastAsia"/>
          <w:sz w:val="24"/>
          <w:szCs w:val="24"/>
        </w:rPr>
        <w:t>发生下列情况之一，磋商保证金将不予退还：</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（1）供应商在投标有效期内撤回其响应文件的；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（2）成交供应商不按本章规定签订合</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（3）供应商提供虚假材料谋取中标、成交的；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（4）与采购人、其它供应商或者招标代理机构恶意串通的；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（5）向采购人、招标代理机构、评标委员会成员行贿或者提供其他不正当利益的。</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12.报价有效期</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12.l 报价有效期为从</w:t>
      </w:r>
      <w:r>
        <w:rPr>
          <w:rFonts w:hint="eastAsia"/>
          <w:sz w:val="24"/>
          <w:szCs w:val="24"/>
          <w:lang w:val="en-US" w:eastAsia="zh-CN"/>
        </w:rPr>
        <w:t>磋商</w:t>
      </w:r>
      <w:r>
        <w:rPr>
          <w:rFonts w:hint="eastAsia"/>
          <w:sz w:val="24"/>
          <w:szCs w:val="24"/>
        </w:rPr>
        <w:t>截止之日起计算的</w:t>
      </w:r>
      <w:r>
        <w:rPr>
          <w:rFonts w:hint="eastAsia"/>
          <w:sz w:val="24"/>
          <w:szCs w:val="24"/>
          <w:u w:val="single"/>
        </w:rPr>
        <w:t xml:space="preserve"> 60 </w:t>
      </w:r>
      <w:r>
        <w:rPr>
          <w:rFonts w:hint="eastAsia"/>
          <w:sz w:val="24"/>
          <w:szCs w:val="24"/>
        </w:rPr>
        <w:t>天，有效期短于此规定的响应文件将被视为无效。</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12.2 在特殊情况下，招标代理机构可于报价有效期满之前，征得供应商同意延长报价有效期，要求与答复均应以书面形式进行。供应商可以拒绝接受这一要求而放弃报价，磋商保证金将尽快无息退还。同意这一要求的供应商，无需也不允许修改其响应文件，但须相应延长磋商保证金的有效期。受报价有效期制约的所有权利和义务均应延长至新的有效期。</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13.响应文件的数量、签署及形式</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13.1响应文件一式肆份，均须胶装。其中正本壹份，副本叁份，电子版壹份。</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13.2响应文件须按磋商文件的要求执行，每份报价书均须在封面上清楚标明“正本”或“副本”字样，“正本”和“副本”具有同等的法律效力；“正本”和“副本”之间如有差异，以正本为准。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13.3响应文件正本应由供应商的法定代表人或其授权的委托人逐页签字并加盖供应商公章。</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13.4响应文件不得涂改和增删，如要修改错漏处，必须由同一签署人在修改处签字和盖章。</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四、响应文件的递交</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14.响应文件的密封及标记</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14．l 供应商应将响应文件正本和所有副本分别密封在两个</w:t>
      </w:r>
      <w:r>
        <w:rPr>
          <w:rFonts w:hint="eastAsia"/>
          <w:sz w:val="24"/>
          <w:szCs w:val="24"/>
          <w:lang w:val="en-US" w:eastAsia="zh-CN"/>
        </w:rPr>
        <w:t>密封</w:t>
      </w:r>
      <w:r>
        <w:rPr>
          <w:rFonts w:hint="eastAsia"/>
          <w:sz w:val="24"/>
          <w:szCs w:val="24"/>
        </w:rPr>
        <w:t>专用袋（箱） 中（正本一包，副本一包），并在</w:t>
      </w:r>
      <w:r>
        <w:rPr>
          <w:rFonts w:hint="eastAsia"/>
          <w:sz w:val="24"/>
          <w:szCs w:val="24"/>
          <w:lang w:val="en-US" w:eastAsia="zh-CN"/>
        </w:rPr>
        <w:t>密封</w:t>
      </w:r>
      <w:r>
        <w:rPr>
          <w:rFonts w:hint="eastAsia"/>
          <w:sz w:val="24"/>
          <w:szCs w:val="24"/>
        </w:rPr>
        <w:t>专用袋（箱）上标明“正本”、“副本”字样， 封口处应加盖骑缝章。封皮上均应写明：</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致：海南华夏世纪项目管理有限公司</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项目名称：海南省传统村落和历史街区保护与活化利用十四五专项规划</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项目编号：HXSJ-CG-2021012</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注明：“请勿在开标时间之前启封”</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报价单位名称、联系人姓名和电话</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14.2 响应文件未按上述规定书写标记和密封者，其</w:t>
      </w:r>
      <w:r>
        <w:rPr>
          <w:rFonts w:hint="eastAsia"/>
          <w:sz w:val="24"/>
          <w:szCs w:val="24"/>
          <w:lang w:val="en-US" w:eastAsia="zh-CN"/>
        </w:rPr>
        <w:t>响应</w:t>
      </w:r>
      <w:r>
        <w:rPr>
          <w:rFonts w:hint="eastAsia"/>
          <w:sz w:val="24"/>
          <w:szCs w:val="24"/>
        </w:rPr>
        <w:t>文件将被拒绝接收。</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15.</w:t>
      </w:r>
      <w:r>
        <w:rPr>
          <w:rFonts w:hint="eastAsia"/>
          <w:sz w:val="24"/>
          <w:szCs w:val="24"/>
          <w:lang w:val="en-US" w:eastAsia="zh-CN"/>
        </w:rPr>
        <w:t>磋商</w:t>
      </w:r>
      <w:r>
        <w:rPr>
          <w:rFonts w:hint="eastAsia"/>
          <w:sz w:val="24"/>
          <w:szCs w:val="24"/>
        </w:rPr>
        <w:t>截止时间</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15.1 供应商须在</w:t>
      </w:r>
      <w:r>
        <w:rPr>
          <w:rFonts w:hint="eastAsia"/>
          <w:sz w:val="24"/>
          <w:szCs w:val="24"/>
          <w:lang w:val="en-US" w:eastAsia="zh-CN"/>
        </w:rPr>
        <w:t>磋商</w:t>
      </w:r>
      <w:r>
        <w:rPr>
          <w:rFonts w:hint="eastAsia"/>
          <w:sz w:val="24"/>
          <w:szCs w:val="24"/>
        </w:rPr>
        <w:t>截止时间前将响应文件送达招标代理机构规定的</w:t>
      </w:r>
      <w:r>
        <w:rPr>
          <w:rFonts w:hint="eastAsia"/>
          <w:sz w:val="24"/>
          <w:szCs w:val="24"/>
          <w:lang w:val="en-US" w:eastAsia="zh-CN"/>
        </w:rPr>
        <w:t>磋商</w:t>
      </w:r>
      <w:r>
        <w:rPr>
          <w:rFonts w:hint="eastAsia"/>
          <w:sz w:val="24"/>
          <w:szCs w:val="24"/>
        </w:rPr>
        <w:t>地点。</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15.2 若招标代理机构推迟了</w:t>
      </w:r>
      <w:r>
        <w:rPr>
          <w:rFonts w:hint="eastAsia"/>
          <w:sz w:val="24"/>
          <w:szCs w:val="24"/>
          <w:lang w:val="en-US" w:eastAsia="zh-CN"/>
        </w:rPr>
        <w:t>磋商</w:t>
      </w:r>
      <w:r>
        <w:rPr>
          <w:rFonts w:hint="eastAsia"/>
          <w:sz w:val="24"/>
          <w:szCs w:val="24"/>
        </w:rPr>
        <w:t>截止时间，应以公告的形式通知所有供应商。在这种情况下，采购人和供应商的权利和义务均应以新的截止时间为准。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15.3 在</w:t>
      </w:r>
      <w:r>
        <w:rPr>
          <w:rFonts w:hint="eastAsia"/>
          <w:sz w:val="24"/>
          <w:szCs w:val="24"/>
          <w:lang w:val="en-US" w:eastAsia="zh-CN"/>
        </w:rPr>
        <w:t>磋商</w:t>
      </w:r>
      <w:r>
        <w:rPr>
          <w:rFonts w:hint="eastAsia"/>
          <w:sz w:val="24"/>
          <w:szCs w:val="24"/>
        </w:rPr>
        <w:t>截止时间后递交的响应文件，招标代理机构将拒绝接受。</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五、磋商、评标及签约</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16.磋商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16.l 招标代理机构按磋商文件第一章规定的时间和地点进行磋商。采购人代表、招标代理机构有关工作人员参加。监督部门将派代表到现场进行监督。</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16.2 供应商应委派授权代表（受托人）参加开标活动，参加开标的代表须持本人身份证件签名报到以证明其出席。未派授权代表（受托人）或不能证明其授权代表（受托人）身份的，招标代理机构对响应文件的处理不承担责任。</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16.3 磋商时，招标代理机构或供应商代表将查验响应文件密封情况，确认无误后拆封唱标，公布每份响应文件正本中“报价一览表”的相关内容，以及招标代理机构认为合适的其他内容，招标代理机构将作开标记录。</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16.4 若响应文件未密封，招标代理机构将拒绝接受该供应商的响应文件。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17．磋商小组</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磋商小组由采购人代表和评审专家共 3 人以上单数组成，其中，技术、经济等方面的专家人数不得少于成员总数的 2/3。该磋商小组独立工作，负责评审所有响应文件并确定成交侯选人。</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18.关于政策性优惠</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18.1供应商为小型和微型企业（含联合体）的情况：</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18.1.1中小企业的认定标准：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1）提供本企业制造的货物、承担的工程或者服务，或者提供其他中小企业制造的货物，不包括提供或使用大型企业注册商标的货物；</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2）本规定所称中小企业划分标准，是指国务院有关部门根据企业从业人员、营业收入、资产总额等指标制定的中小企业划型标准（工信部联企业〔2011〕300 号）；</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3）小型、微型企业提供有中型企业制造的货物的，视同为中型企业；小型、微型、中型企业提供有大型企业制造的货物的，视同为大型企业。</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4）监狱企业视同为小型、微型企业。</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5) 残疾人福利性单位视同为小型、微型企业，必须如实填写“残疾人福利性单位声明函”（内容、格式见财库〔2017〕141 号）。</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18.1.2具体评审价说明：</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供应商为小型或微型企业，其评审价=报价*（1-6%）；</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18.1.3供应商为工信部联企业〔2011〕300 号文规定的小型和微型企业（含联合体）的，必须如实填写“中小企业声明函”（内容、格式见财库〔2011〕181 号）。如有虚假骗取政策性加分，将依法承担相应责任。</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18.2供应商为小型、微型企业，同时所投产品为小型、微型企业生产的才能享受政策性优惠。</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19.磋商和定标</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19.1 磋商、评分办法见“第六章 磋商程序”。</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19.2 磋商小组将严格按照磋商文件的要求和条件进行评标,根据评标办法推荐出三家成交候选人，并标明排列顺序。采购人将确定排名第一的成交候选人为成交供应商并向其授予合同。排名第一的成交候选人因不可抗力或者自身原因不能履行合同，或者排名第一的成交候选人提供虚假材料或存在其它违规行为的，或者是评标委员会出现评标错误，被他人质疑后证实确有其事的，采购人将把合同授予排名第二的成交候选人或重新组织</w:t>
      </w:r>
      <w:r>
        <w:rPr>
          <w:rFonts w:hint="eastAsia"/>
          <w:sz w:val="24"/>
          <w:szCs w:val="24"/>
          <w:lang w:val="en-US" w:eastAsia="zh-CN"/>
        </w:rPr>
        <w:t>磋商</w:t>
      </w:r>
      <w:r>
        <w:rPr>
          <w:rFonts w:hint="eastAsia"/>
          <w:sz w:val="24"/>
          <w:szCs w:val="24"/>
        </w:rPr>
        <w:t>。如此类推。</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19.3 招标代理机构将在指定的网站上公告成交结果。</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20.质疑处理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20.1 质疑时限：供应商如认为竞争性磋商文件、招标过程和中标结果使自己的权益受到损害的， 应在知道或应知道其权益受到损害之日起七个工作日内以书面形式向海南华夏世纪项目管理有限公司提出质疑，并附相关证明材料。匿名、非书面形式、七个工作日之外的质疑均不予受理。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20.2 质疑要求：供应商在法定质疑期内针对同一过程环节的质疑须一次性提出。</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20.3 质疑函格式：详见海南省财政厅质疑函范本。（未按照质疑函范本书写的质疑均不受理）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20.4 供应商在法定质疑期内将纸质证明材料送至海南华夏世纪项目管理有限公司，质疑时间以签收时间为准。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 xml:space="preserve">20.5 联系人；容先生，联系电话：0898-65220227  </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地址： 海南省海口市琼山区国兴大道海航豪庭南苑二期5栋2单元2302室</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21.成交通知</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21.1 成交供应商收到成交通知后，到招标代理机构处办理有关手续。</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21.2 成交通知书将是合同的一个组成部分</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22．签订合同</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22.l 成交供应商应按成交通知书规定的时间、地点与采购人签订成交合同, 否则磋商保证金将不予退还，给采购人和招标代理机构造成损失的，供应商还应承担赔偿责任。</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22.2 磋商文件、成交供应商的响应文件及评标过程中有关澄清文件均应作为合同附件。</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七、其它</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23.采购代理服务费</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本次采购活动采购代理服务费按《关于降低部分招标代理服务收费标准的通知》(琼价费管【2011】225 号)的规定向中标单位收取。</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24.其它</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本项目不召开答疑会</w:t>
      </w:r>
    </w:p>
    <w:p>
      <w:pPr>
        <w:pStyle w:val="4"/>
      </w:pPr>
    </w:p>
    <w:p/>
    <w:p>
      <w:pPr>
        <w:pStyle w:val="4"/>
      </w:pPr>
    </w:p>
    <w:p/>
    <w:p>
      <w:pPr>
        <w:pStyle w:val="4"/>
      </w:pPr>
    </w:p>
    <w:p/>
    <w:p>
      <w:pPr>
        <w:pStyle w:val="2"/>
        <w:numPr>
          <w:ilvl w:val="0"/>
          <w:numId w:val="0"/>
        </w:numPr>
        <w:ind w:right="0" w:rightChars="0"/>
        <w:jc w:val="both"/>
        <w:rPr>
          <w:rFonts w:hint="eastAsia"/>
          <w:sz w:val="44"/>
          <w:szCs w:val="44"/>
          <w:lang w:val="en-US" w:eastAsia="zh-CN"/>
        </w:rPr>
      </w:pPr>
    </w:p>
    <w:p>
      <w:pPr>
        <w:rPr>
          <w:rFonts w:hint="eastAsia"/>
          <w:sz w:val="44"/>
          <w:szCs w:val="44"/>
          <w:lang w:val="en-US" w:eastAsia="zh-CN"/>
        </w:rPr>
      </w:pPr>
      <w:r>
        <w:rPr>
          <w:rFonts w:hint="eastAsia"/>
          <w:sz w:val="44"/>
          <w:szCs w:val="44"/>
          <w:lang w:val="en-US" w:eastAsia="zh-CN"/>
        </w:rPr>
        <w:br w:type="page"/>
      </w:r>
    </w:p>
    <w:p>
      <w:pPr>
        <w:spacing w:line="560" w:lineRule="exact"/>
        <w:jc w:val="center"/>
        <w:rPr>
          <w:rFonts w:hint="eastAsia"/>
          <w:b/>
          <w:sz w:val="32"/>
          <w:szCs w:val="32"/>
        </w:rPr>
      </w:pPr>
      <w:r>
        <w:rPr>
          <w:rFonts w:hint="eastAsia" w:ascii="Times New Roman" w:hAnsi="Times New Roman" w:eastAsia="宋体" w:cs="Times New Roman"/>
          <w:b/>
          <w:bCs/>
          <w:color w:val="auto"/>
          <w:sz w:val="44"/>
          <w:szCs w:val="44"/>
          <w:lang w:val="en-US" w:eastAsia="zh-CN" w:bidi="ar-SA"/>
        </w:rPr>
        <w:t>第三章</w:t>
      </w:r>
      <w:r>
        <w:rPr>
          <w:sz w:val="44"/>
          <w:szCs w:val="44"/>
        </w:rPr>
        <w:t xml:space="preserve"> </w:t>
      </w:r>
      <w:r>
        <w:rPr>
          <w:b/>
          <w:sz w:val="32"/>
          <w:szCs w:val="32"/>
        </w:rPr>
        <w:t>采购需求</w:t>
      </w:r>
      <w:bookmarkStart w:id="8" w:name="_Toc513642573"/>
      <w:bookmarkStart w:id="9" w:name="_Toc3271"/>
      <w:bookmarkStart w:id="10" w:name="_Toc317237621"/>
      <w:bookmarkStart w:id="11" w:name="_Toc25024"/>
    </w:p>
    <w:p>
      <w:pPr>
        <w:rPr>
          <w:b/>
          <w:sz w:val="28"/>
          <w:szCs w:val="28"/>
        </w:rPr>
      </w:pPr>
      <w:r>
        <w:rPr>
          <w:rFonts w:hint="eastAsia"/>
        </w:rPr>
        <w:t xml:space="preserve">   </w:t>
      </w:r>
      <w:r>
        <w:rPr>
          <w:rFonts w:hint="eastAsia"/>
          <w:b/>
          <w:sz w:val="28"/>
          <w:szCs w:val="28"/>
        </w:rPr>
        <w:t xml:space="preserve"> </w:t>
      </w:r>
      <w:r>
        <w:rPr>
          <w:b/>
          <w:sz w:val="28"/>
          <w:szCs w:val="28"/>
        </w:rPr>
        <w:t>一、项目概况</w:t>
      </w:r>
      <w:bookmarkEnd w:id="8"/>
      <w:bookmarkEnd w:id="9"/>
    </w:p>
    <w:p>
      <w:pPr>
        <w:spacing w:line="360" w:lineRule="auto"/>
        <w:ind w:firstLine="480" w:firstLineChars="200"/>
        <w:jc w:val="left"/>
        <w:rPr>
          <w:bCs/>
          <w:sz w:val="24"/>
        </w:rPr>
      </w:pPr>
      <w:r>
        <w:rPr>
          <w:bCs/>
          <w:sz w:val="24"/>
        </w:rPr>
        <w:t>1、项目名称：</w:t>
      </w:r>
      <w:r>
        <w:rPr>
          <w:rFonts w:hint="eastAsia"/>
          <w:bCs/>
          <w:sz w:val="24"/>
        </w:rPr>
        <w:t>海南省传统村落和历史文化街区保护与活化利用十四五专项规划</w:t>
      </w:r>
    </w:p>
    <w:p>
      <w:pPr>
        <w:spacing w:line="360" w:lineRule="auto"/>
        <w:ind w:firstLine="480" w:firstLineChars="200"/>
        <w:jc w:val="left"/>
        <w:rPr>
          <w:bCs/>
          <w:sz w:val="24"/>
        </w:rPr>
      </w:pPr>
      <w:r>
        <w:rPr>
          <w:bCs/>
          <w:sz w:val="24"/>
        </w:rPr>
        <w:t>2、项目编号：</w:t>
      </w:r>
      <w:r>
        <w:rPr>
          <w:rFonts w:hint="eastAsia"/>
          <w:bCs/>
          <w:sz w:val="24"/>
        </w:rPr>
        <w:t>HXSJ-CG-2021012</w:t>
      </w:r>
    </w:p>
    <w:p>
      <w:pPr>
        <w:spacing w:line="360" w:lineRule="auto"/>
        <w:ind w:firstLine="480" w:firstLineChars="200"/>
        <w:jc w:val="left"/>
        <w:rPr>
          <w:bCs/>
          <w:sz w:val="24"/>
        </w:rPr>
      </w:pPr>
      <w:r>
        <w:rPr>
          <w:rFonts w:hint="eastAsia"/>
          <w:bCs/>
          <w:sz w:val="24"/>
        </w:rPr>
        <w:t>3、采购预算（最高限价）：人民币壹佰万元整（￥1000000.00）</w:t>
      </w:r>
    </w:p>
    <w:p>
      <w:pPr>
        <w:spacing w:line="360" w:lineRule="auto"/>
        <w:ind w:firstLine="480" w:firstLineChars="200"/>
        <w:jc w:val="left"/>
        <w:rPr>
          <w:bCs/>
          <w:sz w:val="24"/>
        </w:rPr>
      </w:pPr>
      <w:r>
        <w:rPr>
          <w:bCs/>
          <w:sz w:val="24"/>
        </w:rPr>
        <w:t>4、</w:t>
      </w:r>
      <w:r>
        <w:rPr>
          <w:rFonts w:hint="eastAsia"/>
          <w:bCs/>
          <w:sz w:val="24"/>
        </w:rPr>
        <w:t>服务地点</w:t>
      </w:r>
      <w:r>
        <w:rPr>
          <w:bCs/>
          <w:sz w:val="24"/>
        </w:rPr>
        <w:t>：</w:t>
      </w:r>
      <w:r>
        <w:rPr>
          <w:rFonts w:hint="eastAsia"/>
          <w:bCs/>
          <w:sz w:val="24"/>
        </w:rPr>
        <w:t>海南省</w:t>
      </w:r>
    </w:p>
    <w:p>
      <w:pPr>
        <w:spacing w:line="360" w:lineRule="auto"/>
        <w:ind w:firstLine="480" w:firstLineChars="200"/>
        <w:jc w:val="left"/>
        <w:rPr>
          <w:rFonts w:hint="eastAsia"/>
          <w:bCs/>
          <w:sz w:val="24"/>
        </w:rPr>
      </w:pPr>
      <w:r>
        <w:rPr>
          <w:bCs/>
          <w:sz w:val="24"/>
        </w:rPr>
        <w:t>5、</w:t>
      </w:r>
      <w:r>
        <w:rPr>
          <w:rFonts w:hint="eastAsia"/>
          <w:bCs/>
          <w:sz w:val="24"/>
        </w:rPr>
        <w:t>服务期限</w:t>
      </w:r>
      <w:r>
        <w:rPr>
          <w:bCs/>
          <w:sz w:val="24"/>
        </w:rPr>
        <w:t>：</w:t>
      </w:r>
      <w:r>
        <w:rPr>
          <w:rFonts w:hint="eastAsia"/>
          <w:bCs/>
          <w:sz w:val="24"/>
        </w:rPr>
        <w:t>合同签订之日起至6个月内</w:t>
      </w:r>
    </w:p>
    <w:p>
      <w:pPr>
        <w:spacing w:line="360" w:lineRule="auto"/>
        <w:ind w:firstLine="562" w:firstLineChars="200"/>
        <w:jc w:val="left"/>
        <w:rPr>
          <w:bCs/>
          <w:sz w:val="24"/>
        </w:rPr>
      </w:pPr>
      <w:r>
        <w:rPr>
          <w:rFonts w:ascii="Times New Roman" w:hAnsi="Times New Roman"/>
          <w:b/>
          <w:sz w:val="28"/>
          <w:szCs w:val="28"/>
        </w:rPr>
        <w:t>二、采购内容</w:t>
      </w:r>
      <w:r>
        <w:rPr>
          <w:rFonts w:ascii="Times New Roman" w:hAnsi="Times New Roman"/>
          <w:sz w:val="28"/>
          <w:szCs w:val="28"/>
        </w:rPr>
        <w:t>：</w:t>
      </w:r>
    </w:p>
    <w:p>
      <w:pPr>
        <w:spacing w:line="360" w:lineRule="auto"/>
        <w:ind w:firstLine="480" w:firstLineChars="200"/>
        <w:jc w:val="left"/>
        <w:rPr>
          <w:bCs/>
          <w:sz w:val="24"/>
        </w:rPr>
      </w:pPr>
      <w:r>
        <w:rPr>
          <w:rFonts w:hint="eastAsia"/>
          <w:bCs/>
          <w:sz w:val="24"/>
        </w:rPr>
        <w:t>为海南省传统村落和历史文化街区保护与活化利用提供技术服务，完成全省中国传统村落和历史文化街区的现场调研、“十三五”相关工作成效总结、相关研究和“十四五”规划成果编制、后续技术服务等工作。具体如下：</w:t>
      </w:r>
    </w:p>
    <w:p>
      <w:pPr>
        <w:spacing w:line="360" w:lineRule="auto"/>
        <w:ind w:firstLine="480" w:firstLineChars="200"/>
        <w:jc w:val="left"/>
        <w:rPr>
          <w:bCs/>
          <w:sz w:val="24"/>
        </w:rPr>
      </w:pPr>
      <w:r>
        <w:rPr>
          <w:rFonts w:hint="eastAsia"/>
          <w:bCs/>
          <w:sz w:val="24"/>
        </w:rPr>
        <w:t xml:space="preserve">1、按照省自然资源和规划厅的工作安排，深入各市县对全省挂牌的64个中国传统村落和5个历史街区及部分保存较好的的古村落进行现场踏勘、参与各市县座谈会、整理座谈会记录，并做好调研工作总结。   </w:t>
      </w:r>
    </w:p>
    <w:p>
      <w:pPr>
        <w:spacing w:line="360" w:lineRule="auto"/>
        <w:ind w:firstLine="480" w:firstLineChars="200"/>
        <w:jc w:val="left"/>
        <w:rPr>
          <w:bCs/>
          <w:sz w:val="24"/>
        </w:rPr>
      </w:pPr>
      <w:r>
        <w:rPr>
          <w:rFonts w:hint="eastAsia"/>
          <w:bCs/>
          <w:sz w:val="24"/>
        </w:rPr>
        <w:t>2、编制调研报告和档案，收集、整理各市县相关基础资料、规划、政策和工作文件，汇总各方发展诉求、问题和解决措施以及下一步工作计划，并按照一村一档、一街一档的要求编制64个中国传统村落和5个历史街区的基础信息档案。</w:t>
      </w:r>
    </w:p>
    <w:p>
      <w:pPr>
        <w:spacing w:line="360" w:lineRule="auto"/>
        <w:ind w:firstLine="480" w:firstLineChars="200"/>
        <w:jc w:val="left"/>
        <w:rPr>
          <w:bCs/>
          <w:sz w:val="24"/>
        </w:rPr>
      </w:pPr>
      <w:r>
        <w:rPr>
          <w:rFonts w:hint="eastAsia"/>
          <w:bCs/>
          <w:sz w:val="24"/>
        </w:rPr>
        <w:t>3、编制整体研究报告，按照对传统村落和历史文化街区活化利用的工作要求，摸清家底，分析问题，并对重点问题进行重点研究，提出解决问题的思路和具体措施；通过研究国际国内传统村落、历史文化街区保护和利用比较先进国家和地区的案例，结合海南实际情况和面临的主要问题，总结可以借鉴的做法和政策机制。将传统村落、历史文化街区作为一个有机整体，联动历史文化名城、名镇、名村，突出传统村落、历史文化街区的文化价值和空间特色，考虑政府引导和社会资本进入等多样化的运营模式，策划一批传承历史文化遗产、适应市场运作的项目，并提出相应的操作建议。</w:t>
      </w:r>
    </w:p>
    <w:p>
      <w:pPr>
        <w:spacing w:line="360" w:lineRule="auto"/>
        <w:ind w:firstLine="480" w:firstLineChars="200"/>
        <w:jc w:val="left"/>
        <w:rPr>
          <w:bCs/>
          <w:sz w:val="24"/>
        </w:rPr>
      </w:pPr>
      <w:r>
        <w:rPr>
          <w:rFonts w:hint="eastAsia"/>
          <w:bCs/>
          <w:sz w:val="24"/>
        </w:rPr>
        <w:t>4、编制全省传统村落和历史文化街区保护与活化利用“十四五”规划成果，包括文字成果、图集和项目列表，以研究报告为支撑，梳理总结“十三五”传统村落和历史文化街区发展工作的成效，分析研究当前面临的发展形势和政策背景，按照国家和省对传统村落和历史文化街区保护和利用的总体要求，提出“十四五”期间的发展目标和主要任务，并制</w:t>
      </w:r>
      <w:r>
        <w:rPr>
          <w:rFonts w:hint="eastAsia"/>
          <w:bCs/>
          <w:sz w:val="24"/>
          <w:lang w:val="en-US" w:eastAsia="zh-CN"/>
        </w:rPr>
        <w:t>定</w:t>
      </w:r>
      <w:r>
        <w:rPr>
          <w:rFonts w:hint="eastAsia"/>
          <w:bCs/>
          <w:sz w:val="24"/>
        </w:rPr>
        <w:t>五年行动计划和项目库。</w:t>
      </w:r>
    </w:p>
    <w:p>
      <w:pPr>
        <w:spacing w:line="360" w:lineRule="auto"/>
        <w:ind w:firstLine="480" w:firstLineChars="200"/>
        <w:jc w:val="left"/>
        <w:rPr>
          <w:bCs/>
          <w:sz w:val="24"/>
        </w:rPr>
      </w:pPr>
      <w:r>
        <w:rPr>
          <w:rFonts w:hint="eastAsia"/>
          <w:bCs/>
          <w:sz w:val="24"/>
        </w:rPr>
        <w:t>5、配合省自然资源和规划厅就规划成果征求省级相关部门、相关市县的意见，并根据合理意见修改完善。</w:t>
      </w:r>
    </w:p>
    <w:p>
      <w:pPr>
        <w:spacing w:line="360" w:lineRule="auto"/>
        <w:ind w:firstLine="480" w:firstLineChars="200"/>
        <w:jc w:val="left"/>
        <w:rPr>
          <w:bCs/>
          <w:sz w:val="24"/>
        </w:rPr>
      </w:pPr>
      <w:r>
        <w:rPr>
          <w:rFonts w:hint="eastAsia"/>
          <w:bCs/>
          <w:sz w:val="24"/>
        </w:rPr>
        <w:t>6、配合省自然资源和规划厅根据工作需要编写推动全省此项工作的政策文件。</w:t>
      </w:r>
    </w:p>
    <w:p>
      <w:pPr>
        <w:spacing w:line="360" w:lineRule="auto"/>
        <w:ind w:firstLine="480" w:firstLineChars="200"/>
        <w:jc w:val="left"/>
        <w:rPr>
          <w:rFonts w:hint="eastAsia"/>
          <w:sz w:val="28"/>
          <w:szCs w:val="28"/>
        </w:rPr>
      </w:pPr>
      <w:r>
        <w:rPr>
          <w:rFonts w:hint="eastAsia"/>
          <w:bCs/>
          <w:sz w:val="24"/>
        </w:rPr>
        <w:t>7、通过资料搜集和实地调研，形成全省历史建筑图集</w:t>
      </w:r>
      <w:r>
        <w:rPr>
          <w:rFonts w:hint="eastAsia"/>
          <w:sz w:val="28"/>
          <w:szCs w:val="28"/>
        </w:rPr>
        <w:t>。</w:t>
      </w:r>
    </w:p>
    <w:p>
      <w:pPr>
        <w:spacing w:line="360" w:lineRule="auto"/>
        <w:ind w:firstLine="562" w:firstLineChars="200"/>
        <w:jc w:val="left"/>
        <w:rPr>
          <w:b/>
          <w:sz w:val="28"/>
          <w:szCs w:val="28"/>
        </w:rPr>
      </w:pPr>
      <w:r>
        <w:rPr>
          <w:rFonts w:hint="eastAsia" w:ascii="Times New Roman" w:hAnsi="Times New Roman"/>
          <w:b/>
          <w:sz w:val="28"/>
          <w:szCs w:val="28"/>
        </w:rPr>
        <w:t>三</w:t>
      </w:r>
      <w:r>
        <w:rPr>
          <w:rFonts w:ascii="Times New Roman" w:hAnsi="Times New Roman"/>
          <w:b/>
          <w:sz w:val="28"/>
          <w:szCs w:val="28"/>
        </w:rPr>
        <w:t>、其他要求</w:t>
      </w:r>
    </w:p>
    <w:p>
      <w:pPr>
        <w:spacing w:line="360" w:lineRule="auto"/>
        <w:ind w:firstLine="480" w:firstLineChars="200"/>
        <w:jc w:val="left"/>
        <w:rPr>
          <w:bCs/>
          <w:sz w:val="24"/>
        </w:rPr>
      </w:pPr>
      <w:r>
        <w:rPr>
          <w:bCs/>
          <w:sz w:val="24"/>
        </w:rPr>
        <w:t>1、供应商须根据所投产品或服务的技术参数、资</w:t>
      </w:r>
      <w:r>
        <w:rPr>
          <w:rFonts w:hint="eastAsia"/>
          <w:bCs/>
          <w:sz w:val="24"/>
        </w:rPr>
        <w:t>格</w:t>
      </w:r>
      <w:r>
        <w:rPr>
          <w:bCs/>
          <w:sz w:val="24"/>
        </w:rPr>
        <w:t>资料编写竞争磋商响应文件。在结果公示期间，采购人有权对成交候选供应商的相关情况等进行核查，如发现与其竞争磋商响应文件的描述不一致，代理机构将报政府采购主管部门严肃处理。</w:t>
      </w:r>
    </w:p>
    <w:p>
      <w:pPr>
        <w:spacing w:line="360" w:lineRule="auto"/>
        <w:ind w:firstLine="480" w:firstLineChars="200"/>
        <w:jc w:val="left"/>
        <w:rPr>
          <w:bCs/>
          <w:sz w:val="24"/>
        </w:rPr>
      </w:pPr>
      <w:r>
        <w:rPr>
          <w:bCs/>
          <w:sz w:val="24"/>
        </w:rPr>
        <w:t>2、本项目不接受超预算报价，投标报价超出预算金额（最高限价）的按无效报价处理。</w:t>
      </w:r>
    </w:p>
    <w:p>
      <w:pPr>
        <w:spacing w:line="360" w:lineRule="auto"/>
        <w:ind w:firstLine="480" w:firstLineChars="200"/>
        <w:jc w:val="left"/>
        <w:rPr>
          <w:bCs/>
          <w:sz w:val="24"/>
        </w:rPr>
      </w:pPr>
      <w:r>
        <w:rPr>
          <w:bCs/>
          <w:sz w:val="24"/>
        </w:rPr>
        <w:t>3、供应商须对文件所列的所有品名、清单及服务内容进行投标，如有遗漏，则视为无效投标。</w:t>
      </w:r>
    </w:p>
    <w:p>
      <w:pPr>
        <w:spacing w:line="440" w:lineRule="exact"/>
        <w:ind w:firstLine="480" w:firstLineChars="200"/>
        <w:rPr>
          <w:bCs/>
          <w:sz w:val="24"/>
        </w:rPr>
      </w:pPr>
      <w:r>
        <w:rPr>
          <w:bCs/>
          <w:sz w:val="24"/>
        </w:rPr>
        <w:t>4、验收方式：</w:t>
      </w:r>
      <w:r>
        <w:rPr>
          <w:rFonts w:hint="eastAsia" w:ascii="宋体" w:hAnsi="宋体"/>
          <w:bCs/>
          <w:spacing w:val="20"/>
          <w:sz w:val="24"/>
        </w:rPr>
        <w:t>通过甲方组织的专家评审为验收标准。</w:t>
      </w:r>
    </w:p>
    <w:p>
      <w:pPr>
        <w:spacing w:line="360" w:lineRule="auto"/>
        <w:ind w:firstLine="480" w:firstLineChars="200"/>
        <w:jc w:val="left"/>
        <w:rPr>
          <w:bCs/>
          <w:sz w:val="24"/>
        </w:rPr>
      </w:pPr>
      <w:r>
        <w:rPr>
          <w:bCs/>
          <w:sz w:val="24"/>
        </w:rPr>
        <w:t>5、本项目不统一组织踏勘现场，供应商自行安排现场踏勘，供应商递交的竞争磋商响应文件，视为已充分考虑了项目实际情况、技术标准及要求、工期、交付场地等特点和相关风险。</w:t>
      </w:r>
    </w:p>
    <w:p>
      <w:pPr>
        <w:spacing w:line="360" w:lineRule="auto"/>
        <w:ind w:firstLine="480" w:firstLineChars="200"/>
        <w:jc w:val="left"/>
        <w:rPr>
          <w:bCs/>
          <w:sz w:val="24"/>
        </w:rPr>
      </w:pPr>
      <w:r>
        <w:rPr>
          <w:bCs/>
          <w:sz w:val="24"/>
        </w:rPr>
        <w:t>6、合同履约过程中，根据项目实际情况需对检测的内容、数量或相关技术和服务要求进行调整或变更的，由采购人和中标人进行协商，具体内容在合同条款中进行约定。</w:t>
      </w:r>
    </w:p>
    <w:bookmarkEnd w:id="10"/>
    <w:bookmarkEnd w:id="11"/>
    <w:p>
      <w:pPr>
        <w:pageBreakBefore w:val="0"/>
        <w:widowControl/>
        <w:shd w:val="clear" w:color="auto" w:fill="FFFFFF"/>
        <w:kinsoku/>
        <w:wordWrap/>
        <w:overflowPunct/>
        <w:topLinePunct w:val="0"/>
        <w:bidi w:val="0"/>
        <w:spacing w:line="360" w:lineRule="auto"/>
        <w:ind w:firstLine="539"/>
        <w:rPr>
          <w:sz w:val="32"/>
          <w:szCs w:val="32"/>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rPr>
          <w:sz w:val="44"/>
          <w:szCs w:val="44"/>
        </w:rPr>
      </w:pPr>
      <w:r>
        <w:rPr>
          <w:sz w:val="44"/>
          <w:szCs w:val="44"/>
        </w:rPr>
        <w:br w:type="page"/>
      </w:r>
    </w:p>
    <w:p>
      <w:pPr>
        <w:jc w:val="center"/>
        <w:rPr>
          <w:rFonts w:hint="eastAsia" w:eastAsia="宋体"/>
          <w:sz w:val="44"/>
          <w:szCs w:val="44"/>
          <w:lang w:eastAsia="zh-CN"/>
        </w:rPr>
      </w:pPr>
      <w:r>
        <w:rPr>
          <w:sz w:val="44"/>
          <w:szCs w:val="44"/>
        </w:rPr>
        <w:t>第四章  合同条款及格式</w:t>
      </w:r>
    </w:p>
    <w:p>
      <w:pPr>
        <w:spacing w:beforeLines="50" w:line="480" w:lineRule="auto"/>
        <w:rPr>
          <w:rFonts w:hint="eastAsia" w:ascii="宋体"/>
          <w:sz w:val="24"/>
        </w:rPr>
      </w:pPr>
      <w:r>
        <w:rPr>
          <w:rFonts w:hint="eastAsia" w:ascii="宋体"/>
          <w:b/>
          <w:bCs/>
          <w:sz w:val="24"/>
        </w:rPr>
        <w:t xml:space="preserve">     甲方：</w:t>
      </w:r>
      <w:r>
        <w:rPr>
          <w:rFonts w:hint="eastAsia" w:ascii="宋体"/>
          <w:sz w:val="24"/>
          <w:u w:val="single"/>
        </w:rPr>
        <w:t xml:space="preserve">海南省自然资源与规划厅                                 </w:t>
      </w:r>
    </w:p>
    <w:p>
      <w:pPr>
        <w:spacing w:beforeLines="100" w:line="480" w:lineRule="auto"/>
        <w:ind w:firstLine="482" w:firstLineChars="200"/>
        <w:rPr>
          <w:rFonts w:hint="eastAsia" w:ascii="宋体"/>
          <w:sz w:val="24"/>
        </w:rPr>
      </w:pPr>
      <w:r>
        <w:rPr>
          <w:rFonts w:hint="eastAsia" w:ascii="宋体"/>
          <w:b/>
          <w:bCs/>
          <w:sz w:val="24"/>
        </w:rPr>
        <w:t>乙方：</w:t>
      </w:r>
      <w:r>
        <w:rPr>
          <w:rFonts w:hint="eastAsia" w:ascii="宋体"/>
          <w:sz w:val="24"/>
          <w:u w:val="single"/>
        </w:rPr>
        <w:t xml:space="preserve">                                                       </w:t>
      </w:r>
    </w:p>
    <w:p>
      <w:pPr>
        <w:spacing w:line="460" w:lineRule="exact"/>
        <w:ind w:firstLine="480" w:firstLineChars="200"/>
        <w:rPr>
          <w:rFonts w:hint="eastAsia" w:ascii="宋体"/>
          <w:sz w:val="24"/>
        </w:rPr>
      </w:pPr>
    </w:p>
    <w:p>
      <w:pPr>
        <w:spacing w:line="460" w:lineRule="exact"/>
        <w:ind w:firstLine="480" w:firstLineChars="200"/>
        <w:rPr>
          <w:rFonts w:hint="eastAsia"/>
        </w:rPr>
      </w:pPr>
      <w:r>
        <w:rPr>
          <w:rFonts w:hint="eastAsia" w:ascii="宋体"/>
          <w:sz w:val="24"/>
        </w:rPr>
        <w:t>甲方委托乙方承担</w:t>
      </w:r>
      <w:r>
        <w:rPr>
          <w:rFonts w:hint="eastAsia" w:ascii="宋体"/>
          <w:sz w:val="24"/>
          <w:u w:val="single"/>
        </w:rPr>
        <w:t xml:space="preserve">  海南省传统村落与历史文化街区保护与活化利用“十四五”专项规划  </w:t>
      </w:r>
      <w:r>
        <w:rPr>
          <w:rFonts w:hint="eastAsia" w:ascii="宋体"/>
          <w:sz w:val="24"/>
        </w:rPr>
        <w:t>工作，经双方协商一致，签订本合同。</w:t>
      </w:r>
    </w:p>
    <w:p>
      <w:pPr>
        <w:spacing w:beforeLines="50" w:line="460" w:lineRule="exact"/>
        <w:rPr>
          <w:rFonts w:hint="default" w:ascii="宋体"/>
          <w:sz w:val="24"/>
          <w:lang w:val="en-US" w:eastAsia="zh-CN"/>
        </w:rPr>
      </w:pPr>
      <w:r>
        <w:rPr>
          <w:rFonts w:hint="eastAsia" w:ascii="宋体" w:hAnsi="宋体"/>
          <w:b/>
          <w:bCs/>
          <w:sz w:val="24"/>
        </w:rPr>
        <w:t xml:space="preserve">  </w:t>
      </w:r>
      <w:r>
        <w:rPr>
          <w:rFonts w:hint="eastAsia"/>
          <w:b/>
          <w:bCs/>
          <w:sz w:val="24"/>
          <w:lang w:val="en-US" w:eastAsia="zh-CN"/>
        </w:rPr>
        <w:t>注：</w:t>
      </w:r>
      <w:r>
        <w:rPr>
          <w:rFonts w:hint="eastAsia" w:ascii="宋体"/>
          <w:sz w:val="24"/>
          <w:lang w:val="en-US" w:eastAsia="zh-CN"/>
        </w:rPr>
        <w:t>签订本合同的依据“《中华人民共和国民法典》、国家及地方有关规定和规章、本项目的采购文件、乙方响应文件和成交通知书”。</w:t>
      </w:r>
    </w:p>
    <w:p>
      <w:pPr>
        <w:spacing w:beforeLines="50" w:line="460" w:lineRule="exact"/>
        <w:rPr>
          <w:rFonts w:hint="eastAsia" w:ascii="宋体"/>
          <w:b/>
          <w:sz w:val="24"/>
        </w:rPr>
      </w:pPr>
      <w:r>
        <w:rPr>
          <w:rFonts w:hint="eastAsia" w:ascii="宋体"/>
          <w:b/>
          <w:sz w:val="24"/>
        </w:rPr>
        <w:t xml:space="preserve">    第一条   项目概况</w:t>
      </w:r>
    </w:p>
    <w:p>
      <w:pPr>
        <w:spacing w:line="460" w:lineRule="exact"/>
        <w:ind w:left="2127" w:leftChars="200" w:hanging="1687" w:hangingChars="700"/>
        <w:rPr>
          <w:rFonts w:hint="eastAsia"/>
          <w:bCs/>
          <w:sz w:val="24"/>
        </w:rPr>
      </w:pPr>
      <w:r>
        <w:rPr>
          <w:rFonts w:hint="eastAsia" w:ascii="宋体"/>
          <w:b/>
          <w:bCs/>
          <w:sz w:val="24"/>
        </w:rPr>
        <w:t xml:space="preserve">1.1 </w:t>
      </w:r>
      <w:r>
        <w:rPr>
          <w:rFonts w:hint="eastAsia" w:ascii="宋体"/>
          <w:sz w:val="24"/>
        </w:rPr>
        <w:t>项目名称：</w:t>
      </w:r>
      <w:r>
        <w:rPr>
          <w:rFonts w:hint="eastAsia" w:hAnsi="宋体"/>
          <w:sz w:val="24"/>
          <w:u w:val="single"/>
        </w:rPr>
        <w:t>海南省传统村落与历史文化街区保护与活化利用“十四五”专项规</w:t>
      </w:r>
      <w:r>
        <w:rPr>
          <w:rFonts w:hint="eastAsia"/>
          <w:bCs/>
          <w:sz w:val="24"/>
        </w:rPr>
        <w:t xml:space="preserve">划                                </w:t>
      </w:r>
    </w:p>
    <w:p>
      <w:pPr>
        <w:spacing w:line="460" w:lineRule="exact"/>
        <w:ind w:firstLine="482" w:firstLineChars="200"/>
        <w:rPr>
          <w:rFonts w:hint="eastAsia" w:ascii="宋体"/>
          <w:sz w:val="24"/>
          <w:u w:val="single"/>
        </w:rPr>
      </w:pPr>
      <w:r>
        <w:rPr>
          <w:rFonts w:hint="eastAsia" w:ascii="宋体"/>
          <w:b/>
          <w:bCs/>
          <w:sz w:val="24"/>
        </w:rPr>
        <w:t xml:space="preserve">1.2 </w:t>
      </w:r>
      <w:r>
        <w:rPr>
          <w:rFonts w:hint="eastAsia" w:ascii="宋体"/>
          <w:sz w:val="24"/>
        </w:rPr>
        <w:t>项目地点：</w:t>
      </w:r>
      <w:r>
        <w:rPr>
          <w:rFonts w:hint="eastAsia" w:ascii="宋体"/>
          <w:sz w:val="24"/>
          <w:u w:val="single"/>
        </w:rPr>
        <w:t xml:space="preserve">海南省                                       </w:t>
      </w:r>
    </w:p>
    <w:p>
      <w:pPr>
        <w:spacing w:line="460" w:lineRule="exact"/>
        <w:ind w:left="2189" w:leftChars="228" w:right="26" w:rightChars="12" w:hanging="1687" w:hangingChars="700"/>
        <w:rPr>
          <w:rFonts w:hint="eastAsia" w:ascii="宋体"/>
          <w:sz w:val="24"/>
          <w:u w:val="single"/>
        </w:rPr>
      </w:pPr>
      <w:r>
        <w:rPr>
          <w:rFonts w:hint="eastAsia" w:ascii="宋体"/>
          <w:b/>
          <w:bCs/>
          <w:sz w:val="24"/>
        </w:rPr>
        <w:t xml:space="preserve">1.3 </w:t>
      </w:r>
      <w:r>
        <w:rPr>
          <w:rFonts w:hint="eastAsia" w:ascii="宋体"/>
          <w:sz w:val="24"/>
        </w:rPr>
        <w:t>项目规模：</w:t>
      </w:r>
      <w:r>
        <w:rPr>
          <w:rFonts w:hint="eastAsia" w:ascii="宋体"/>
          <w:b w:val="0"/>
          <w:bCs w:val="0"/>
          <w:color w:val="auto"/>
          <w:sz w:val="24"/>
          <w:u w:val="single"/>
        </w:rPr>
        <w:t>海南省</w:t>
      </w:r>
      <w:r>
        <w:rPr>
          <w:rFonts w:ascii="宋体"/>
          <w:b w:val="0"/>
          <w:bCs w:val="0"/>
          <w:color w:val="auto"/>
          <w:sz w:val="24"/>
          <w:u w:val="single"/>
        </w:rPr>
        <w:t>全域（含</w:t>
      </w:r>
      <w:r>
        <w:rPr>
          <w:rFonts w:hint="eastAsia"/>
          <w:b w:val="0"/>
          <w:bCs w:val="0"/>
          <w:color w:val="auto"/>
          <w:sz w:val="24"/>
          <w:u w:val="single"/>
          <w:lang w:val="en-US" w:eastAsia="zh-CN"/>
        </w:rPr>
        <w:t>全省</w:t>
      </w:r>
      <w:r>
        <w:rPr>
          <w:rFonts w:hint="eastAsia" w:ascii="宋体"/>
          <w:b w:val="0"/>
          <w:bCs w:val="0"/>
          <w:color w:val="auto"/>
          <w:sz w:val="24"/>
          <w:u w:val="single"/>
        </w:rPr>
        <w:t>64个中国传统村落和5个历史街区及部分保存较好的的古村落）</w:t>
      </w:r>
      <w:r>
        <w:rPr>
          <w:rFonts w:ascii="宋体"/>
          <w:sz w:val="24"/>
          <w:u w:val="single"/>
        </w:rPr>
        <w:t xml:space="preserve">      </w:t>
      </w:r>
      <w:r>
        <w:rPr>
          <w:rFonts w:hint="eastAsia" w:ascii="宋体"/>
          <w:sz w:val="24"/>
          <w:u w:val="single"/>
        </w:rPr>
        <w:t xml:space="preserve">                               </w:t>
      </w:r>
    </w:p>
    <w:p>
      <w:pPr>
        <w:spacing w:line="460" w:lineRule="exact"/>
        <w:ind w:right="-350" w:rightChars="-159" w:firstLine="482" w:firstLineChars="200"/>
        <w:rPr>
          <w:rFonts w:asciiTheme="minorEastAsia" w:hAnsiTheme="minorEastAsia" w:eastAsiaTheme="minorEastAsia"/>
          <w:bCs/>
          <w:sz w:val="24"/>
        </w:rPr>
      </w:pPr>
      <w:r>
        <w:rPr>
          <w:rFonts w:hint="eastAsia" w:asciiTheme="minorEastAsia" w:hAnsiTheme="minorEastAsia" w:eastAsiaTheme="minorEastAsia"/>
          <w:b/>
          <w:bCs/>
          <w:sz w:val="24"/>
        </w:rPr>
        <w:t>1.4</w:t>
      </w:r>
      <w:r>
        <w:rPr>
          <w:rFonts w:hint="eastAsia" w:asciiTheme="minorEastAsia" w:hAnsiTheme="minorEastAsia" w:eastAsiaTheme="minorEastAsia"/>
          <w:b/>
          <w:bCs/>
          <w:sz w:val="24"/>
          <w:lang w:val="en-US" w:eastAsia="zh-CN"/>
        </w:rPr>
        <w:t xml:space="preserve"> </w:t>
      </w:r>
      <w:r>
        <w:rPr>
          <w:rFonts w:hint="eastAsia" w:asciiTheme="minorEastAsia" w:hAnsiTheme="minorEastAsia" w:eastAsiaTheme="minorEastAsia"/>
          <w:bCs/>
          <w:sz w:val="24"/>
        </w:rPr>
        <w:t>服务期限</w:t>
      </w:r>
      <w:r>
        <w:rPr>
          <w:rFonts w:asciiTheme="minorEastAsia" w:hAnsiTheme="minorEastAsia" w:eastAsiaTheme="minorEastAsia"/>
          <w:bCs/>
          <w:sz w:val="24"/>
        </w:rPr>
        <w:t>：</w:t>
      </w:r>
      <w:r>
        <w:rPr>
          <w:rFonts w:hint="eastAsia" w:asciiTheme="minorEastAsia" w:hAnsiTheme="minorEastAsia" w:eastAsiaTheme="minorEastAsia"/>
          <w:bCs/>
          <w:sz w:val="24"/>
        </w:rPr>
        <w:t>合同签订之日起至6个月内</w:t>
      </w:r>
      <w:r>
        <w:rPr>
          <w:rFonts w:asciiTheme="minorEastAsia" w:hAnsiTheme="minorEastAsia" w:eastAsiaTheme="minorEastAsia"/>
          <w:bCs/>
          <w:sz w:val="24"/>
        </w:rPr>
        <w:t xml:space="preserve"> </w:t>
      </w:r>
    </w:p>
    <w:p>
      <w:pPr>
        <w:spacing w:line="360" w:lineRule="auto"/>
        <w:ind w:firstLine="352" w:firstLineChars="147"/>
        <w:jc w:val="left"/>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1.5</w:t>
      </w:r>
      <w:r>
        <w:rPr>
          <w:rFonts w:hint="eastAsia" w:asciiTheme="minorEastAsia" w:hAnsiTheme="minorEastAsia" w:eastAsiaTheme="minorEastAsia"/>
          <w:b/>
          <w:sz w:val="24"/>
          <w:lang w:val="en-US" w:eastAsia="zh-CN"/>
        </w:rPr>
        <w:t xml:space="preserve"> </w:t>
      </w:r>
      <w:r>
        <w:rPr>
          <w:rFonts w:asciiTheme="minorEastAsia" w:hAnsiTheme="minorEastAsia" w:eastAsiaTheme="minorEastAsia"/>
          <w:sz w:val="24"/>
        </w:rPr>
        <w:t>项目编号：</w:t>
      </w:r>
      <w:r>
        <w:rPr>
          <w:rFonts w:hint="eastAsia" w:asciiTheme="minorEastAsia" w:hAnsiTheme="minorEastAsia" w:eastAsiaTheme="minorEastAsia"/>
          <w:sz w:val="24"/>
        </w:rPr>
        <w:t>HXSJ-CG-2021012</w:t>
      </w:r>
    </w:p>
    <w:p>
      <w:pPr>
        <w:spacing w:line="360" w:lineRule="auto"/>
        <w:ind w:firstLine="480" w:firstLineChars="200"/>
        <w:jc w:val="left"/>
        <w:rPr>
          <w:rFonts w:hint="eastAsia"/>
          <w:bCs/>
          <w:sz w:val="24"/>
        </w:rPr>
      </w:pPr>
    </w:p>
    <w:p>
      <w:pPr>
        <w:spacing w:line="360" w:lineRule="auto"/>
        <w:ind w:firstLine="482" w:firstLineChars="200"/>
        <w:jc w:val="left"/>
        <w:rPr>
          <w:rFonts w:hint="eastAsia"/>
          <w:bCs/>
          <w:sz w:val="24"/>
        </w:rPr>
      </w:pPr>
      <w:r>
        <w:rPr>
          <w:rFonts w:hint="eastAsia" w:ascii="宋体"/>
          <w:b/>
          <w:sz w:val="24"/>
        </w:rPr>
        <w:t>第二条   工作内容</w:t>
      </w:r>
    </w:p>
    <w:p>
      <w:pPr>
        <w:spacing w:line="360" w:lineRule="auto"/>
        <w:ind w:firstLine="480" w:firstLineChars="200"/>
        <w:jc w:val="left"/>
        <w:rPr>
          <w:bCs/>
          <w:sz w:val="24"/>
        </w:rPr>
      </w:pPr>
      <w:r>
        <w:rPr>
          <w:rFonts w:hint="eastAsia"/>
          <w:bCs/>
          <w:sz w:val="24"/>
        </w:rPr>
        <w:t>为海南省传统村落和历史文化街区保护与活化利用提供技术服务，完成全省中国传统村落和历史文化街区的现场调研、“十三五”相关工作成效总结、相关研究和“十四五”规划成果编制、后续技术服务等工作。具体如下：</w:t>
      </w:r>
    </w:p>
    <w:p>
      <w:pPr>
        <w:spacing w:line="360" w:lineRule="auto"/>
        <w:ind w:firstLine="480" w:firstLineChars="200"/>
        <w:jc w:val="left"/>
        <w:rPr>
          <w:bCs/>
          <w:sz w:val="24"/>
        </w:rPr>
      </w:pPr>
      <w:r>
        <w:rPr>
          <w:rFonts w:hint="eastAsia"/>
          <w:bCs/>
          <w:sz w:val="24"/>
        </w:rPr>
        <w:t xml:space="preserve">1、按照省自然资源和规划厅的工作安排，深入各市县对全省挂牌的64个中国传统村落和5个历史街区及部分保存较好的的古村落进行现场踏勘、参与各市县座谈会、整理座谈会记录，并做好调研工作总结。   </w:t>
      </w:r>
    </w:p>
    <w:p>
      <w:pPr>
        <w:spacing w:line="360" w:lineRule="auto"/>
        <w:ind w:firstLine="480" w:firstLineChars="200"/>
        <w:jc w:val="left"/>
        <w:rPr>
          <w:bCs/>
          <w:sz w:val="24"/>
        </w:rPr>
      </w:pPr>
      <w:r>
        <w:rPr>
          <w:rFonts w:hint="eastAsia"/>
          <w:bCs/>
          <w:sz w:val="24"/>
        </w:rPr>
        <w:t>2、编制调研报告和档案，收集、整理各市县相关基础资料、规划、政策和工作文件，汇总各方发展诉求、问题和解决措施以及下一步工作计划，并按照一村一档、一街一档的要求编制64个中国传统村落和5个历史街区的基础信息档案。</w:t>
      </w:r>
    </w:p>
    <w:p>
      <w:pPr>
        <w:spacing w:line="360" w:lineRule="auto"/>
        <w:ind w:firstLine="480" w:firstLineChars="200"/>
        <w:jc w:val="left"/>
        <w:rPr>
          <w:bCs/>
          <w:sz w:val="24"/>
        </w:rPr>
      </w:pPr>
      <w:r>
        <w:rPr>
          <w:rFonts w:hint="eastAsia"/>
          <w:bCs/>
          <w:sz w:val="24"/>
        </w:rPr>
        <w:t>3、编制整体研究报告，按照对传统村落和历史文化街区活化利用的工作要求，摸清家底，分析问题，并对重点问题进行重点研究，提出解决问题的思路和具体措施；通过研究国际国内传统村落、历史文化街区保护和利用比较先进国家和地区的案例，结合海南实际情况和面临的主要问题，总结可以借鉴的做法和政策机制。将传统村落、历史文化街区作为一个有机整体，联动历史文化名城、名镇、名村，突出传统村落、历史文化街区的文化价值和空间特色，考虑政府引导和社会资本进入等多样化的运营模式，策划一批传承历史文化遗产、适应市场运作的项目，并提出相应的操作建议。</w:t>
      </w:r>
    </w:p>
    <w:p>
      <w:pPr>
        <w:spacing w:line="360" w:lineRule="auto"/>
        <w:ind w:firstLine="480" w:firstLineChars="200"/>
        <w:jc w:val="left"/>
        <w:rPr>
          <w:bCs/>
          <w:sz w:val="24"/>
        </w:rPr>
      </w:pPr>
      <w:r>
        <w:rPr>
          <w:rFonts w:hint="eastAsia"/>
          <w:bCs/>
          <w:sz w:val="24"/>
        </w:rPr>
        <w:t>4、编制全省传统村落和历史文化街区保护与活化利用“十四五”规划成果，包括文字成果、图集和项目列表，以研究报告为支撑，梳理总结“十三五”传统村落和历史文化街区发展工作的成效，分析研究当前面临的发展形势和政策背景，按照国家和省对传统村落和历史文化街区保护和利用的总体要求，提出“十四五”期间的发展目标和主要任务，并制</w:t>
      </w:r>
      <w:r>
        <w:rPr>
          <w:rFonts w:hint="eastAsia"/>
          <w:bCs/>
          <w:sz w:val="24"/>
          <w:lang w:val="en-US" w:eastAsia="zh-CN"/>
        </w:rPr>
        <w:t>定</w:t>
      </w:r>
      <w:r>
        <w:rPr>
          <w:rFonts w:hint="eastAsia"/>
          <w:bCs/>
          <w:sz w:val="24"/>
        </w:rPr>
        <w:t>五年行动计划和项目库。</w:t>
      </w:r>
    </w:p>
    <w:p>
      <w:pPr>
        <w:spacing w:line="360" w:lineRule="auto"/>
        <w:ind w:firstLine="480" w:firstLineChars="200"/>
        <w:jc w:val="left"/>
        <w:rPr>
          <w:bCs/>
          <w:sz w:val="24"/>
        </w:rPr>
      </w:pPr>
      <w:r>
        <w:rPr>
          <w:rFonts w:hint="eastAsia"/>
          <w:bCs/>
          <w:sz w:val="24"/>
        </w:rPr>
        <w:t>5、配合省自然资源和规划厅就规划成果征求省级相关部门、相关市县的意见，并根据合理意见修改完善。</w:t>
      </w:r>
    </w:p>
    <w:p>
      <w:pPr>
        <w:spacing w:line="360" w:lineRule="auto"/>
        <w:ind w:firstLine="480" w:firstLineChars="200"/>
        <w:jc w:val="left"/>
        <w:rPr>
          <w:bCs/>
          <w:sz w:val="24"/>
        </w:rPr>
      </w:pPr>
      <w:r>
        <w:rPr>
          <w:rFonts w:hint="eastAsia"/>
          <w:bCs/>
          <w:sz w:val="24"/>
        </w:rPr>
        <w:t>6、配合省自然资源和规划厅根据工作需要编写推动全省此项工作的政策文件。</w:t>
      </w:r>
    </w:p>
    <w:p>
      <w:pPr>
        <w:spacing w:line="360" w:lineRule="auto"/>
        <w:ind w:firstLine="480" w:firstLineChars="200"/>
        <w:jc w:val="left"/>
        <w:rPr>
          <w:rFonts w:hint="eastAsia"/>
          <w:sz w:val="28"/>
          <w:szCs w:val="28"/>
        </w:rPr>
      </w:pPr>
      <w:r>
        <w:rPr>
          <w:rFonts w:hint="eastAsia"/>
          <w:bCs/>
          <w:sz w:val="24"/>
        </w:rPr>
        <w:t>7、通过资料搜集和实地调研，形成全省历史建筑图集</w:t>
      </w:r>
      <w:r>
        <w:rPr>
          <w:rFonts w:hint="eastAsia"/>
          <w:sz w:val="28"/>
          <w:szCs w:val="28"/>
        </w:rPr>
        <w:t>。</w:t>
      </w:r>
    </w:p>
    <w:p>
      <w:pPr>
        <w:pStyle w:val="19"/>
        <w:ind w:firstLine="0"/>
        <w:rPr>
          <w:color w:val="auto"/>
        </w:rPr>
      </w:pPr>
      <w:r>
        <w:rPr>
          <w:rFonts w:hint="eastAsia"/>
          <w:bCs/>
          <w:color w:val="auto"/>
        </w:rPr>
        <w:t xml:space="preserve">   第三条  规划编制</w:t>
      </w:r>
      <w:r>
        <w:rPr>
          <w:rFonts w:hint="eastAsia"/>
          <w:color w:val="auto"/>
        </w:rPr>
        <w:t>进度及阶段成果要求</w:t>
      </w:r>
    </w:p>
    <w:p>
      <w:pPr>
        <w:adjustRightInd w:val="0"/>
        <w:snapToGrid w:val="0"/>
        <w:spacing w:after="120" w:line="440" w:lineRule="exact"/>
        <w:ind w:firstLine="330" w:firstLineChars="150"/>
        <w:outlineLvl w:val="0"/>
        <w:rPr>
          <w:rFonts w:hint="eastAsia" w:ascii="宋体" w:hAnsi="宋体" w:cs="宋体"/>
          <w:sz w:val="24"/>
        </w:rPr>
      </w:pPr>
      <w:r>
        <w:rPr>
          <w:rFonts w:hint="eastAsia" w:ascii="宋体" w:hAnsi="宋体"/>
          <w:szCs w:val="21"/>
        </w:rPr>
        <w:t>3</w:t>
      </w:r>
      <w:r>
        <w:rPr>
          <w:rFonts w:hint="eastAsia" w:ascii="宋体" w:hAnsi="宋体"/>
          <w:b/>
          <w:bCs/>
          <w:sz w:val="24"/>
        </w:rPr>
        <w:t>.</w:t>
      </w:r>
      <w:r>
        <w:rPr>
          <w:rFonts w:hint="eastAsia" w:ascii="宋体" w:hAnsi="宋体"/>
          <w:b/>
          <w:bCs/>
          <w:szCs w:val="21"/>
        </w:rPr>
        <w:t>1</w:t>
      </w:r>
      <w:r>
        <w:rPr>
          <w:rFonts w:hint="eastAsia" w:ascii="宋体" w:hAnsi="宋体" w:cs="宋体"/>
          <w:sz w:val="24"/>
        </w:rPr>
        <w:t xml:space="preserve">乙方应按如下约定周期向甲方提交各阶段成果： </w:t>
      </w:r>
    </w:p>
    <w:tbl>
      <w:tblPr>
        <w:tblStyle w:val="14"/>
        <w:tblW w:w="7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655"/>
        <w:gridCol w:w="1843"/>
        <w:gridCol w:w="2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98" w:type="dxa"/>
            <w:vAlign w:val="center"/>
          </w:tcPr>
          <w:p>
            <w:pPr>
              <w:pStyle w:val="20"/>
              <w:jc w:val="center"/>
              <w:rPr>
                <w:rFonts w:hint="eastAsia" w:ascii="宋体" w:hAnsi="宋体" w:cs="宋体"/>
                <w:sz w:val="24"/>
              </w:rPr>
            </w:pPr>
            <w:r>
              <w:rPr>
                <w:rFonts w:hint="eastAsia" w:ascii="宋体" w:hAnsi="宋体" w:cs="宋体"/>
                <w:sz w:val="24"/>
              </w:rPr>
              <w:t>序号</w:t>
            </w:r>
          </w:p>
        </w:tc>
        <w:tc>
          <w:tcPr>
            <w:tcW w:w="1655" w:type="dxa"/>
            <w:vAlign w:val="center"/>
          </w:tcPr>
          <w:p>
            <w:pPr>
              <w:pStyle w:val="20"/>
              <w:jc w:val="center"/>
              <w:rPr>
                <w:rFonts w:hint="eastAsia" w:ascii="宋体" w:hAnsi="宋体" w:cs="宋体"/>
                <w:sz w:val="24"/>
              </w:rPr>
            </w:pPr>
            <w:r>
              <w:rPr>
                <w:rFonts w:hint="eastAsia" w:ascii="宋体" w:hAnsi="宋体" w:cs="宋体"/>
                <w:sz w:val="24"/>
              </w:rPr>
              <w:t>工作阶段</w:t>
            </w:r>
          </w:p>
        </w:tc>
        <w:tc>
          <w:tcPr>
            <w:tcW w:w="1843" w:type="dxa"/>
            <w:vAlign w:val="center"/>
          </w:tcPr>
          <w:p>
            <w:pPr>
              <w:pStyle w:val="20"/>
              <w:jc w:val="center"/>
              <w:rPr>
                <w:rFonts w:hint="eastAsia" w:ascii="宋体" w:hAnsi="宋体" w:cs="宋体"/>
                <w:sz w:val="24"/>
              </w:rPr>
            </w:pPr>
            <w:r>
              <w:rPr>
                <w:rFonts w:hint="eastAsia" w:ascii="宋体" w:hAnsi="宋体" w:cs="宋体"/>
                <w:sz w:val="24"/>
              </w:rPr>
              <w:t>成果构成</w:t>
            </w:r>
          </w:p>
        </w:tc>
        <w:tc>
          <w:tcPr>
            <w:tcW w:w="2962" w:type="dxa"/>
            <w:vAlign w:val="center"/>
          </w:tcPr>
          <w:p>
            <w:pPr>
              <w:pStyle w:val="20"/>
              <w:jc w:val="center"/>
              <w:rPr>
                <w:rFonts w:hint="eastAsia" w:ascii="宋体" w:hAnsi="宋体" w:cs="宋体"/>
                <w:sz w:val="24"/>
              </w:rPr>
            </w:pPr>
            <w:r>
              <w:rPr>
                <w:rFonts w:hint="eastAsia" w:ascii="宋体" w:hAnsi="宋体" w:cs="宋体"/>
                <w:sz w:val="24"/>
              </w:rPr>
              <w:t>成果提交时间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98" w:type="dxa"/>
            <w:vAlign w:val="center"/>
          </w:tcPr>
          <w:p>
            <w:pPr>
              <w:pStyle w:val="20"/>
              <w:jc w:val="center"/>
              <w:rPr>
                <w:rFonts w:hint="eastAsia" w:ascii="宋体" w:hAnsi="宋体" w:cs="宋体"/>
                <w:sz w:val="24"/>
              </w:rPr>
            </w:pPr>
            <w:r>
              <w:rPr>
                <w:rFonts w:hint="eastAsia" w:ascii="宋体" w:hAnsi="宋体" w:cs="宋体"/>
                <w:sz w:val="24"/>
              </w:rPr>
              <w:t>1</w:t>
            </w:r>
          </w:p>
        </w:tc>
        <w:tc>
          <w:tcPr>
            <w:tcW w:w="1655" w:type="dxa"/>
            <w:vAlign w:val="center"/>
          </w:tcPr>
          <w:p>
            <w:pPr>
              <w:pStyle w:val="20"/>
              <w:jc w:val="center"/>
              <w:rPr>
                <w:rFonts w:hint="eastAsia" w:ascii="宋体" w:hAnsi="宋体" w:cs="宋体"/>
                <w:sz w:val="24"/>
              </w:rPr>
            </w:pPr>
            <w:r>
              <w:rPr>
                <w:rFonts w:hint="eastAsia" w:ascii="宋体" w:hAnsi="宋体" w:cs="宋体"/>
                <w:sz w:val="24"/>
              </w:rPr>
              <w:t>初步成果</w:t>
            </w:r>
          </w:p>
        </w:tc>
        <w:tc>
          <w:tcPr>
            <w:tcW w:w="1843" w:type="dxa"/>
            <w:vAlign w:val="center"/>
          </w:tcPr>
          <w:p>
            <w:pPr>
              <w:pStyle w:val="20"/>
              <w:jc w:val="center"/>
              <w:rPr>
                <w:rFonts w:hint="eastAsia" w:ascii="宋体" w:hAnsi="宋体" w:cs="宋体"/>
                <w:sz w:val="24"/>
              </w:rPr>
            </w:pPr>
            <w:r>
              <w:rPr>
                <w:rFonts w:hint="eastAsia" w:ascii="宋体" w:hAnsi="宋体" w:cs="宋体"/>
                <w:sz w:val="24"/>
              </w:rPr>
              <w:t>初步成果</w:t>
            </w:r>
            <w:r>
              <w:rPr>
                <w:rFonts w:ascii="宋体" w:hAnsi="宋体" w:cs="宋体"/>
                <w:sz w:val="24"/>
              </w:rPr>
              <w:t>文件</w:t>
            </w:r>
          </w:p>
        </w:tc>
        <w:tc>
          <w:tcPr>
            <w:tcW w:w="2962" w:type="dxa"/>
            <w:vAlign w:val="center"/>
          </w:tcPr>
          <w:p>
            <w:pPr>
              <w:pStyle w:val="20"/>
              <w:jc w:val="center"/>
              <w:rPr>
                <w:rFonts w:hint="eastAsia" w:ascii="宋体" w:hAnsi="宋体" w:cs="宋体"/>
                <w:sz w:val="24"/>
              </w:rPr>
            </w:pPr>
            <w:r>
              <w:rPr>
                <w:rFonts w:hint="eastAsia"/>
                <w:color w:val="0A1F0C"/>
                <w:sz w:val="24"/>
              </w:rPr>
              <w:t>合同签订后</w:t>
            </w:r>
            <w:r>
              <w:rPr>
                <w:color w:val="0A1F0C"/>
                <w:sz w:val="24"/>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98" w:type="dxa"/>
            <w:vAlign w:val="center"/>
          </w:tcPr>
          <w:p>
            <w:pPr>
              <w:pStyle w:val="20"/>
              <w:jc w:val="center"/>
              <w:rPr>
                <w:rFonts w:hint="eastAsia" w:ascii="宋体" w:hAnsi="宋体" w:cs="宋体"/>
                <w:sz w:val="24"/>
              </w:rPr>
            </w:pPr>
            <w:r>
              <w:rPr>
                <w:rFonts w:hint="eastAsia" w:ascii="宋体" w:hAnsi="宋体" w:cs="宋体"/>
                <w:sz w:val="24"/>
              </w:rPr>
              <w:t>2</w:t>
            </w:r>
          </w:p>
        </w:tc>
        <w:tc>
          <w:tcPr>
            <w:tcW w:w="1655" w:type="dxa"/>
            <w:vAlign w:val="center"/>
          </w:tcPr>
          <w:p>
            <w:pPr>
              <w:pStyle w:val="20"/>
              <w:jc w:val="center"/>
              <w:rPr>
                <w:rFonts w:hint="eastAsia" w:ascii="宋体" w:hAnsi="宋体" w:cs="宋体"/>
                <w:sz w:val="24"/>
              </w:rPr>
            </w:pPr>
            <w:r>
              <w:rPr>
                <w:rFonts w:hint="eastAsia" w:ascii="宋体" w:hAnsi="宋体" w:cs="宋体"/>
                <w:sz w:val="24"/>
              </w:rPr>
              <w:t>评审成果</w:t>
            </w:r>
          </w:p>
        </w:tc>
        <w:tc>
          <w:tcPr>
            <w:tcW w:w="1843" w:type="dxa"/>
            <w:vAlign w:val="center"/>
          </w:tcPr>
          <w:p>
            <w:pPr>
              <w:pStyle w:val="20"/>
              <w:jc w:val="center"/>
              <w:rPr>
                <w:rFonts w:hint="eastAsia" w:ascii="宋体" w:hAnsi="宋体" w:cs="宋体"/>
                <w:sz w:val="24"/>
              </w:rPr>
            </w:pPr>
            <w:r>
              <w:rPr>
                <w:rFonts w:hint="eastAsia" w:ascii="宋体" w:hAnsi="宋体" w:cs="宋体"/>
                <w:sz w:val="24"/>
              </w:rPr>
              <w:t>评审成果</w:t>
            </w:r>
            <w:r>
              <w:rPr>
                <w:rFonts w:ascii="宋体" w:hAnsi="宋体" w:cs="宋体"/>
                <w:sz w:val="24"/>
              </w:rPr>
              <w:t>文件</w:t>
            </w:r>
          </w:p>
        </w:tc>
        <w:tc>
          <w:tcPr>
            <w:tcW w:w="2962" w:type="dxa"/>
            <w:vAlign w:val="center"/>
          </w:tcPr>
          <w:p>
            <w:pPr>
              <w:pStyle w:val="20"/>
              <w:jc w:val="center"/>
              <w:rPr>
                <w:rFonts w:hint="eastAsia" w:ascii="宋体" w:hAnsi="宋体" w:cs="宋体"/>
                <w:sz w:val="24"/>
              </w:rPr>
            </w:pPr>
            <w:r>
              <w:rPr>
                <w:rFonts w:hint="eastAsia"/>
                <w:color w:val="0A1F0C"/>
                <w:sz w:val="24"/>
              </w:rPr>
              <w:t>初步成果意见反馈后</w:t>
            </w:r>
            <w:r>
              <w:rPr>
                <w:color w:val="0A1F0C"/>
                <w:sz w:val="24"/>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798" w:type="dxa"/>
            <w:vAlign w:val="center"/>
          </w:tcPr>
          <w:p>
            <w:pPr>
              <w:pStyle w:val="20"/>
              <w:jc w:val="center"/>
              <w:rPr>
                <w:rFonts w:hint="eastAsia" w:ascii="宋体" w:hAnsi="宋体" w:cs="宋体"/>
                <w:sz w:val="24"/>
              </w:rPr>
            </w:pPr>
            <w:r>
              <w:rPr>
                <w:rFonts w:hint="eastAsia" w:ascii="宋体" w:hAnsi="宋体" w:cs="宋体"/>
                <w:sz w:val="24"/>
              </w:rPr>
              <w:t>3</w:t>
            </w:r>
          </w:p>
        </w:tc>
        <w:tc>
          <w:tcPr>
            <w:tcW w:w="1655" w:type="dxa"/>
            <w:vAlign w:val="center"/>
          </w:tcPr>
          <w:p>
            <w:pPr>
              <w:pStyle w:val="20"/>
              <w:jc w:val="center"/>
              <w:rPr>
                <w:rFonts w:hint="eastAsia" w:ascii="宋体" w:hAnsi="宋体" w:cs="宋体"/>
                <w:sz w:val="24"/>
              </w:rPr>
            </w:pPr>
            <w:r>
              <w:rPr>
                <w:rFonts w:hint="eastAsia" w:ascii="宋体" w:hAnsi="宋体" w:cs="宋体"/>
                <w:sz w:val="24"/>
              </w:rPr>
              <w:t>最终</w:t>
            </w:r>
            <w:r>
              <w:rPr>
                <w:rFonts w:ascii="宋体" w:hAnsi="宋体" w:cs="宋体"/>
                <w:sz w:val="24"/>
              </w:rPr>
              <w:t>成果</w:t>
            </w:r>
          </w:p>
        </w:tc>
        <w:tc>
          <w:tcPr>
            <w:tcW w:w="1843" w:type="dxa"/>
            <w:vAlign w:val="center"/>
          </w:tcPr>
          <w:p>
            <w:pPr>
              <w:pStyle w:val="20"/>
              <w:jc w:val="center"/>
              <w:rPr>
                <w:rFonts w:hint="eastAsia" w:ascii="宋体" w:hAnsi="宋体" w:cs="宋体"/>
                <w:sz w:val="24"/>
              </w:rPr>
            </w:pPr>
            <w:r>
              <w:rPr>
                <w:rFonts w:hint="eastAsia" w:ascii="宋体" w:hAnsi="宋体" w:cs="宋体"/>
                <w:sz w:val="24"/>
              </w:rPr>
              <w:t>最终</w:t>
            </w:r>
            <w:r>
              <w:rPr>
                <w:rFonts w:ascii="宋体" w:hAnsi="宋体" w:cs="宋体"/>
                <w:sz w:val="24"/>
              </w:rPr>
              <w:t>成果文件</w:t>
            </w:r>
          </w:p>
        </w:tc>
        <w:tc>
          <w:tcPr>
            <w:tcW w:w="2962" w:type="dxa"/>
            <w:vAlign w:val="center"/>
          </w:tcPr>
          <w:p>
            <w:pPr>
              <w:pStyle w:val="20"/>
              <w:jc w:val="center"/>
              <w:rPr>
                <w:rFonts w:hint="eastAsia" w:ascii="宋体" w:hAnsi="宋体" w:cs="宋体"/>
                <w:sz w:val="24"/>
              </w:rPr>
            </w:pPr>
            <w:r>
              <w:rPr>
                <w:rFonts w:hint="eastAsia"/>
                <w:color w:val="0A1F0C"/>
                <w:sz w:val="24"/>
              </w:rPr>
              <w:t>专家评审通过后</w:t>
            </w:r>
            <w:r>
              <w:rPr>
                <w:color w:val="0A1F0C"/>
                <w:sz w:val="24"/>
              </w:rPr>
              <w:t>30个工作日</w:t>
            </w:r>
          </w:p>
        </w:tc>
      </w:tr>
    </w:tbl>
    <w:p>
      <w:pPr>
        <w:spacing w:line="276" w:lineRule="auto"/>
        <w:ind w:firstLine="550" w:firstLineChars="250"/>
        <w:rPr>
          <w:rFonts w:ascii="宋体" w:hAnsi="宋体"/>
          <w:szCs w:val="21"/>
        </w:rPr>
      </w:pPr>
    </w:p>
    <w:p>
      <w:pPr>
        <w:spacing w:line="276" w:lineRule="auto"/>
        <w:ind w:firstLine="600" w:firstLineChars="250"/>
        <w:rPr>
          <w:rFonts w:hint="eastAsia" w:ascii="宋体" w:hAnsi="宋体"/>
          <w:sz w:val="24"/>
          <w:szCs w:val="24"/>
        </w:rPr>
      </w:pPr>
      <w:r>
        <w:rPr>
          <w:rFonts w:hint="eastAsia" w:ascii="宋体" w:hAnsi="宋体"/>
          <w:sz w:val="24"/>
          <w:szCs w:val="24"/>
        </w:rPr>
        <w:t>说明：</w:t>
      </w:r>
    </w:p>
    <w:p>
      <w:pPr>
        <w:spacing w:line="276" w:lineRule="auto"/>
        <w:ind w:firstLine="600" w:firstLineChars="250"/>
        <w:rPr>
          <w:rFonts w:hint="eastAsia" w:ascii="宋体" w:hAnsi="宋体"/>
          <w:sz w:val="24"/>
          <w:szCs w:val="24"/>
        </w:rPr>
      </w:pPr>
      <w:r>
        <w:rPr>
          <w:rFonts w:hint="eastAsia" w:ascii="宋体" w:hAnsi="宋体"/>
          <w:sz w:val="24"/>
          <w:szCs w:val="24"/>
        </w:rPr>
        <w:t>（1）以上提交时间是根据乙方的工作计划安排,双方认可的时间，不包括汇报、评审和评审纪要、公示时间。</w:t>
      </w:r>
    </w:p>
    <w:p>
      <w:pPr>
        <w:spacing w:line="276" w:lineRule="auto"/>
        <w:ind w:firstLine="600" w:firstLineChars="250"/>
        <w:rPr>
          <w:rFonts w:hint="eastAsia" w:ascii="宋体" w:hAnsi="宋体"/>
          <w:sz w:val="24"/>
          <w:szCs w:val="24"/>
        </w:rPr>
      </w:pPr>
      <w:r>
        <w:rPr>
          <w:rFonts w:hint="eastAsia" w:ascii="宋体" w:hAnsi="宋体"/>
          <w:sz w:val="24"/>
          <w:szCs w:val="24"/>
        </w:rPr>
        <w:t>（2）在合同履行过程中，在必要情况下，经双方协商一致，可对上述工作进度和阶段成果要求进行调整，最终成果提交日期</w:t>
      </w:r>
      <w:r>
        <w:rPr>
          <w:rFonts w:hint="eastAsia"/>
          <w:sz w:val="24"/>
          <w:szCs w:val="24"/>
          <w:lang w:val="en-US" w:eastAsia="zh-CN"/>
        </w:rPr>
        <w:t>视情况</w:t>
      </w:r>
      <w:r>
        <w:rPr>
          <w:rFonts w:hint="eastAsia" w:ascii="宋体" w:hAnsi="宋体"/>
          <w:sz w:val="24"/>
          <w:szCs w:val="24"/>
        </w:rPr>
        <w:t>顺延。</w:t>
      </w:r>
    </w:p>
    <w:p>
      <w:pPr>
        <w:spacing w:line="276" w:lineRule="auto"/>
        <w:ind w:firstLine="600" w:firstLineChars="250"/>
        <w:rPr>
          <w:rFonts w:hint="eastAsia" w:ascii="宋体" w:hAnsi="宋体"/>
          <w:sz w:val="24"/>
          <w:szCs w:val="24"/>
        </w:rPr>
      </w:pPr>
      <w:r>
        <w:rPr>
          <w:rFonts w:hint="eastAsia" w:ascii="宋体" w:hAnsi="宋体"/>
          <w:sz w:val="24"/>
          <w:szCs w:val="24"/>
        </w:rPr>
        <w:t>（3）规划编制过程中甲方要求提前使用部分成果的，则提前提供的成果文件根据不同用途以加盖乙方相应印章件为准。</w:t>
      </w:r>
    </w:p>
    <w:p>
      <w:pPr>
        <w:spacing w:line="276" w:lineRule="auto"/>
        <w:ind w:left="525" w:hanging="600" w:hangingChars="250"/>
        <w:rPr>
          <w:rFonts w:hint="eastAsia" w:ascii="宋体" w:hAnsi="宋体" w:eastAsia="宋体" w:cs="宋体"/>
          <w:kern w:val="0"/>
          <w:sz w:val="24"/>
          <w:szCs w:val="24"/>
          <w:lang w:eastAsia="zh-CN"/>
        </w:rPr>
      </w:pPr>
      <w:r>
        <w:rPr>
          <w:rFonts w:hint="eastAsia" w:ascii="宋体" w:hAnsi="宋体"/>
          <w:sz w:val="24"/>
          <w:szCs w:val="24"/>
        </w:rPr>
        <w:t xml:space="preserve">     （4）</w:t>
      </w:r>
      <w:r>
        <w:rPr>
          <w:rFonts w:hint="eastAsia" w:ascii="宋体" w:hAnsi="宋体" w:cs="宋体"/>
          <w:kern w:val="0"/>
          <w:sz w:val="24"/>
          <w:szCs w:val="24"/>
        </w:rPr>
        <w:t>乙方交付成果文件时，甲方应签署文件接收单，内容包括：成果文件名称</w:t>
      </w:r>
      <w:r>
        <w:rPr>
          <w:rFonts w:hint="eastAsia" w:cs="宋体"/>
          <w:kern w:val="0"/>
          <w:sz w:val="24"/>
          <w:szCs w:val="24"/>
          <w:lang w:eastAsia="zh-CN"/>
        </w:rPr>
        <w:t>、</w:t>
      </w:r>
    </w:p>
    <w:p>
      <w:pPr>
        <w:spacing w:line="276" w:lineRule="auto"/>
        <w:ind w:left="525" w:hanging="600" w:hangingChars="250"/>
        <w:rPr>
          <w:rFonts w:hint="eastAsia" w:ascii="宋体" w:hAnsi="宋体" w:cs="宋体"/>
          <w:kern w:val="0"/>
          <w:sz w:val="24"/>
          <w:szCs w:val="24"/>
        </w:rPr>
      </w:pPr>
      <w:r>
        <w:rPr>
          <w:rFonts w:hint="eastAsia" w:ascii="宋体" w:hAnsi="宋体" w:cs="宋体"/>
          <w:kern w:val="0"/>
          <w:sz w:val="24"/>
          <w:szCs w:val="24"/>
        </w:rPr>
        <w:t>阶段、形式、份数、签收日期，签收人亲笔签名。</w:t>
      </w:r>
    </w:p>
    <w:p>
      <w:pPr>
        <w:pStyle w:val="19"/>
        <w:ind w:firstLine="482" w:firstLineChars="200"/>
        <w:rPr>
          <w:rFonts w:hint="eastAsia"/>
          <w:color w:val="auto"/>
        </w:rPr>
      </w:pPr>
      <w:r>
        <w:rPr>
          <w:rFonts w:hint="eastAsia"/>
          <w:color w:val="auto"/>
        </w:rPr>
        <w:t>第四条  最终成果及验收方式</w:t>
      </w:r>
    </w:p>
    <w:p>
      <w:pPr>
        <w:spacing w:line="440" w:lineRule="exact"/>
        <w:ind w:firstLine="560" w:firstLineChars="200"/>
        <w:rPr>
          <w:rFonts w:hint="eastAsia" w:asciiTheme="minorEastAsia" w:hAnsiTheme="minorEastAsia" w:eastAsiaTheme="minorEastAsia"/>
          <w:bCs/>
          <w:spacing w:val="20"/>
          <w:sz w:val="24"/>
        </w:rPr>
      </w:pPr>
      <w:r>
        <w:rPr>
          <w:rFonts w:hint="eastAsia" w:asciiTheme="minorEastAsia" w:hAnsiTheme="minorEastAsia" w:eastAsiaTheme="minorEastAsia"/>
          <w:bCs/>
          <w:spacing w:val="20"/>
          <w:sz w:val="24"/>
        </w:rPr>
        <w:t>本项目以通过甲方组织的专家评审为验收标准。</w:t>
      </w:r>
    </w:p>
    <w:p>
      <w:pPr>
        <w:adjustRightInd w:val="0"/>
        <w:snapToGrid w:val="0"/>
        <w:spacing w:after="120" w:line="360" w:lineRule="exact"/>
        <w:ind w:firstLine="241" w:firstLineChars="100"/>
        <w:outlineLvl w:val="0"/>
        <w:rPr>
          <w:rFonts w:hint="eastAsia" w:ascii="宋体" w:hAnsi="宋体"/>
          <w:sz w:val="24"/>
        </w:rPr>
      </w:pPr>
      <w:r>
        <w:rPr>
          <w:rFonts w:hint="eastAsia" w:ascii="宋体" w:hAnsi="宋体"/>
          <w:b/>
          <w:bCs/>
          <w:sz w:val="24"/>
        </w:rPr>
        <w:t xml:space="preserve">  第五条 </w:t>
      </w:r>
      <w:r>
        <w:rPr>
          <w:rFonts w:hint="eastAsia" w:ascii="宋体" w:hAnsi="宋体"/>
          <w:sz w:val="24"/>
        </w:rPr>
        <w:t xml:space="preserve"> </w:t>
      </w:r>
      <w:r>
        <w:rPr>
          <w:rFonts w:hint="eastAsia" w:ascii="宋体" w:hAnsi="宋体"/>
          <w:b/>
          <w:bCs/>
          <w:sz w:val="24"/>
        </w:rPr>
        <w:t>规划编制费用及支付进度</w:t>
      </w:r>
    </w:p>
    <w:p>
      <w:pPr>
        <w:tabs>
          <w:tab w:val="left" w:pos="7425"/>
        </w:tabs>
        <w:spacing w:line="460" w:lineRule="exact"/>
        <w:ind w:firstLine="482" w:firstLineChars="200"/>
        <w:rPr>
          <w:rFonts w:hint="eastAsia" w:ascii="宋体" w:hAnsi="宋体"/>
          <w:b/>
          <w:color w:val="0000FF"/>
          <w:sz w:val="24"/>
        </w:rPr>
      </w:pPr>
      <w:r>
        <w:rPr>
          <w:rFonts w:hint="eastAsia" w:ascii="宋体" w:hAnsi="宋体"/>
          <w:b/>
          <w:bCs/>
          <w:sz w:val="24"/>
        </w:rPr>
        <w:t>5.1</w:t>
      </w:r>
      <w:r>
        <w:rPr>
          <w:rFonts w:hint="eastAsia" w:ascii="宋体" w:hAnsi="宋体"/>
          <w:sz w:val="24"/>
        </w:rPr>
        <w:t>经甲乙双方协商，规划编制费用总额</w:t>
      </w:r>
      <w:r>
        <w:rPr>
          <w:rFonts w:hint="eastAsia" w:ascii="宋体" w:hAnsi="宋体" w:cs="宋体"/>
          <w:sz w:val="24"/>
        </w:rPr>
        <w:t>（</w:t>
      </w:r>
      <w:r>
        <w:rPr>
          <w:rFonts w:hint="eastAsia" w:cs="宋体"/>
          <w:bCs/>
          <w:sz w:val="24"/>
        </w:rPr>
        <w:t>含税</w:t>
      </w:r>
      <w:r>
        <w:rPr>
          <w:rFonts w:hint="eastAsia" w:ascii="宋体" w:hAnsi="宋体" w:cs="宋体"/>
          <w:sz w:val="24"/>
        </w:rPr>
        <w:t>）</w:t>
      </w:r>
      <w:r>
        <w:rPr>
          <w:rFonts w:hint="eastAsia" w:ascii="宋体" w:hAnsi="宋体"/>
          <w:sz w:val="24"/>
        </w:rPr>
        <w:t>为人民币</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元（大写：</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w:t>
      </w:r>
      <w:r>
        <w:rPr>
          <w:rFonts w:hint="eastAsia" w:ascii="宋体" w:hAnsi="宋体"/>
          <w:color w:val="FF0000"/>
          <w:sz w:val="24"/>
        </w:rPr>
        <w:t>。</w:t>
      </w:r>
    </w:p>
    <w:p>
      <w:pPr>
        <w:tabs>
          <w:tab w:val="left" w:pos="7425"/>
        </w:tabs>
        <w:spacing w:line="460" w:lineRule="exact"/>
        <w:ind w:firstLine="482" w:firstLineChars="200"/>
        <w:rPr>
          <w:rFonts w:ascii="宋体" w:hAnsi="宋体"/>
          <w:sz w:val="24"/>
        </w:rPr>
      </w:pPr>
      <w:r>
        <w:rPr>
          <w:rFonts w:hint="eastAsia" w:ascii="宋体" w:hAnsi="宋体"/>
          <w:b/>
          <w:bCs/>
          <w:sz w:val="24"/>
        </w:rPr>
        <w:t>5.2</w:t>
      </w:r>
      <w:r>
        <w:rPr>
          <w:rFonts w:hint="eastAsia" w:ascii="宋体" w:hAnsi="宋体"/>
          <w:sz w:val="24"/>
        </w:rPr>
        <w:t xml:space="preserve"> 甲方向</w:t>
      </w:r>
      <w:r>
        <w:rPr>
          <w:rFonts w:ascii="宋体" w:hAnsi="宋体"/>
          <w:sz w:val="24"/>
        </w:rPr>
        <w:t>乙方支付规划编制费用进度如下：</w:t>
      </w:r>
    </w:p>
    <w:tbl>
      <w:tblPr>
        <w:tblStyle w:val="14"/>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6"/>
        <w:gridCol w:w="1900"/>
        <w:gridCol w:w="1413"/>
        <w:gridCol w:w="3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76" w:type="dxa"/>
            <w:vAlign w:val="center"/>
          </w:tcPr>
          <w:p>
            <w:pPr>
              <w:jc w:val="center"/>
              <w:rPr>
                <w:rFonts w:hint="eastAsia" w:ascii="宋体" w:hAnsi="宋体"/>
                <w:sz w:val="24"/>
              </w:rPr>
            </w:pPr>
            <w:r>
              <w:rPr>
                <w:rFonts w:hint="eastAsia" w:ascii="宋体" w:hAnsi="宋体"/>
                <w:sz w:val="24"/>
              </w:rPr>
              <w:t>付费次序</w:t>
            </w:r>
          </w:p>
        </w:tc>
        <w:tc>
          <w:tcPr>
            <w:tcW w:w="1900" w:type="dxa"/>
            <w:vAlign w:val="center"/>
          </w:tcPr>
          <w:p>
            <w:pPr>
              <w:jc w:val="center"/>
              <w:rPr>
                <w:rFonts w:hint="eastAsia" w:ascii="宋体" w:hAnsi="宋体"/>
                <w:sz w:val="24"/>
              </w:rPr>
            </w:pPr>
            <w:r>
              <w:rPr>
                <w:rFonts w:hint="eastAsia" w:ascii="宋体" w:hAnsi="宋体"/>
                <w:sz w:val="24"/>
              </w:rPr>
              <w:t>占总规划编制费（%）</w:t>
            </w:r>
          </w:p>
        </w:tc>
        <w:tc>
          <w:tcPr>
            <w:tcW w:w="1413" w:type="dxa"/>
            <w:vAlign w:val="center"/>
          </w:tcPr>
          <w:p>
            <w:pPr>
              <w:jc w:val="center"/>
              <w:rPr>
                <w:rFonts w:hint="eastAsia" w:ascii="宋体" w:hAnsi="宋体"/>
                <w:sz w:val="24"/>
              </w:rPr>
            </w:pPr>
            <w:r>
              <w:rPr>
                <w:rFonts w:hint="eastAsia" w:ascii="宋体" w:hAnsi="宋体"/>
                <w:sz w:val="24"/>
              </w:rPr>
              <w:t>付费额</w:t>
            </w:r>
          </w:p>
          <w:p>
            <w:pPr>
              <w:jc w:val="center"/>
              <w:rPr>
                <w:rFonts w:hint="eastAsia" w:ascii="宋体" w:hAnsi="宋体"/>
                <w:sz w:val="24"/>
              </w:rPr>
            </w:pPr>
            <w:r>
              <w:rPr>
                <w:rFonts w:hint="eastAsia" w:ascii="宋体" w:hAnsi="宋体"/>
                <w:sz w:val="24"/>
              </w:rPr>
              <w:t>（万元）</w:t>
            </w:r>
          </w:p>
        </w:tc>
        <w:tc>
          <w:tcPr>
            <w:tcW w:w="3471" w:type="dxa"/>
            <w:vAlign w:val="center"/>
          </w:tcPr>
          <w:p>
            <w:pPr>
              <w:jc w:val="center"/>
              <w:rPr>
                <w:rFonts w:hint="eastAsia" w:ascii="宋体" w:hAnsi="宋体"/>
                <w:sz w:val="24"/>
              </w:rPr>
            </w:pPr>
            <w:r>
              <w:rPr>
                <w:rFonts w:hint="eastAsia" w:ascii="宋体" w:hAnsi="宋体"/>
                <w:sz w:val="24"/>
              </w:rPr>
              <w:t>付费时间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676" w:type="dxa"/>
            <w:vAlign w:val="center"/>
          </w:tcPr>
          <w:p>
            <w:pPr>
              <w:jc w:val="center"/>
              <w:rPr>
                <w:rFonts w:hint="eastAsia" w:ascii="宋体" w:hAnsi="宋体"/>
                <w:sz w:val="24"/>
              </w:rPr>
            </w:pPr>
            <w:r>
              <w:rPr>
                <w:rFonts w:hint="eastAsia" w:ascii="宋体" w:hAnsi="宋体"/>
                <w:sz w:val="24"/>
              </w:rPr>
              <w:t>第一次付费</w:t>
            </w:r>
          </w:p>
        </w:tc>
        <w:tc>
          <w:tcPr>
            <w:tcW w:w="1900" w:type="dxa"/>
            <w:vAlign w:val="center"/>
          </w:tcPr>
          <w:p>
            <w:pPr>
              <w:jc w:val="center"/>
              <w:rPr>
                <w:rFonts w:hint="eastAsia" w:ascii="宋体" w:hAnsi="宋体"/>
                <w:sz w:val="24"/>
              </w:rPr>
            </w:pPr>
          </w:p>
        </w:tc>
        <w:tc>
          <w:tcPr>
            <w:tcW w:w="1413" w:type="dxa"/>
            <w:vAlign w:val="center"/>
          </w:tcPr>
          <w:p>
            <w:pPr>
              <w:jc w:val="center"/>
              <w:rPr>
                <w:rFonts w:hint="eastAsia" w:ascii="宋体" w:hAnsi="宋体"/>
                <w:sz w:val="24"/>
              </w:rPr>
            </w:pPr>
          </w:p>
        </w:tc>
        <w:tc>
          <w:tcPr>
            <w:tcW w:w="3471" w:type="dxa"/>
            <w:vAlign w:val="center"/>
          </w:tcPr>
          <w:p>
            <w:pPr>
              <w:jc w:val="center"/>
              <w:rPr>
                <w:rFonts w:hint="eastAsia" w:ascii="宋体" w:hAnsi="宋体"/>
                <w:sz w:val="24"/>
              </w:rPr>
            </w:pPr>
            <w:r>
              <w:rPr>
                <w:rFonts w:hint="eastAsia" w:ascii="宋体" w:hAnsi="宋体"/>
                <w:color w:val="0A1F0C"/>
                <w:sz w:val="24"/>
              </w:rPr>
              <w:t>合同生效后30个工作日内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676" w:type="dxa"/>
            <w:vAlign w:val="center"/>
          </w:tcPr>
          <w:p>
            <w:pPr>
              <w:jc w:val="center"/>
              <w:rPr>
                <w:rFonts w:hint="eastAsia" w:ascii="宋体" w:hAnsi="宋体"/>
                <w:sz w:val="24"/>
              </w:rPr>
            </w:pPr>
            <w:r>
              <w:rPr>
                <w:rFonts w:hint="eastAsia" w:ascii="宋体" w:hAnsi="宋体"/>
                <w:sz w:val="24"/>
              </w:rPr>
              <w:t>第二次付费</w:t>
            </w:r>
          </w:p>
        </w:tc>
        <w:tc>
          <w:tcPr>
            <w:tcW w:w="1900" w:type="dxa"/>
            <w:vAlign w:val="center"/>
          </w:tcPr>
          <w:p>
            <w:pPr>
              <w:jc w:val="center"/>
              <w:rPr>
                <w:rFonts w:hint="eastAsia" w:ascii="宋体" w:hAnsi="宋体"/>
                <w:sz w:val="24"/>
              </w:rPr>
            </w:pPr>
          </w:p>
        </w:tc>
        <w:tc>
          <w:tcPr>
            <w:tcW w:w="1413" w:type="dxa"/>
            <w:vAlign w:val="center"/>
          </w:tcPr>
          <w:p>
            <w:pPr>
              <w:jc w:val="center"/>
              <w:rPr>
                <w:rFonts w:hint="eastAsia" w:ascii="宋体" w:hAnsi="宋体"/>
                <w:sz w:val="24"/>
              </w:rPr>
            </w:pPr>
          </w:p>
        </w:tc>
        <w:tc>
          <w:tcPr>
            <w:tcW w:w="3471" w:type="dxa"/>
            <w:vAlign w:val="center"/>
          </w:tcPr>
          <w:p>
            <w:pPr>
              <w:jc w:val="center"/>
              <w:rPr>
                <w:rFonts w:hint="eastAsia" w:ascii="宋体" w:hAnsi="宋体"/>
                <w:sz w:val="24"/>
              </w:rPr>
            </w:pPr>
            <w:r>
              <w:rPr>
                <w:rFonts w:hint="eastAsia" w:ascii="宋体" w:hAnsi="宋体"/>
                <w:sz w:val="24"/>
              </w:rPr>
              <w:t>提交专家评审或</w:t>
            </w:r>
            <w:r>
              <w:rPr>
                <w:rFonts w:ascii="宋体" w:hAnsi="宋体"/>
                <w:sz w:val="24"/>
              </w:rPr>
              <w:t>相关审查</w:t>
            </w:r>
            <w:r>
              <w:rPr>
                <w:rFonts w:hint="eastAsia" w:ascii="宋体" w:hAnsi="宋体"/>
                <w:sz w:val="24"/>
              </w:rPr>
              <w:t>成果后30个工作日内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676" w:type="dxa"/>
            <w:vAlign w:val="center"/>
          </w:tcPr>
          <w:p>
            <w:pPr>
              <w:jc w:val="center"/>
              <w:rPr>
                <w:rFonts w:hint="eastAsia" w:ascii="宋体" w:hAnsi="宋体"/>
                <w:sz w:val="24"/>
              </w:rPr>
            </w:pPr>
            <w:r>
              <w:rPr>
                <w:rFonts w:hint="eastAsia" w:ascii="宋体" w:hAnsi="宋体"/>
                <w:sz w:val="24"/>
              </w:rPr>
              <w:t>第三次</w:t>
            </w:r>
            <w:r>
              <w:rPr>
                <w:rFonts w:ascii="宋体" w:hAnsi="宋体"/>
                <w:sz w:val="24"/>
              </w:rPr>
              <w:t>付费</w:t>
            </w:r>
          </w:p>
        </w:tc>
        <w:tc>
          <w:tcPr>
            <w:tcW w:w="1900" w:type="dxa"/>
            <w:vAlign w:val="center"/>
          </w:tcPr>
          <w:p>
            <w:pPr>
              <w:jc w:val="center"/>
              <w:rPr>
                <w:rFonts w:hint="eastAsia" w:ascii="宋体" w:hAnsi="宋体"/>
                <w:sz w:val="24"/>
              </w:rPr>
            </w:pPr>
          </w:p>
        </w:tc>
        <w:tc>
          <w:tcPr>
            <w:tcW w:w="1413" w:type="dxa"/>
            <w:vAlign w:val="center"/>
          </w:tcPr>
          <w:p>
            <w:pPr>
              <w:jc w:val="center"/>
              <w:rPr>
                <w:rFonts w:hint="eastAsia" w:ascii="宋体" w:hAnsi="宋体"/>
                <w:sz w:val="24"/>
              </w:rPr>
            </w:pPr>
          </w:p>
        </w:tc>
        <w:tc>
          <w:tcPr>
            <w:tcW w:w="3471" w:type="dxa"/>
            <w:vAlign w:val="center"/>
          </w:tcPr>
          <w:p>
            <w:pPr>
              <w:jc w:val="center"/>
              <w:rPr>
                <w:rFonts w:hint="eastAsia" w:ascii="宋体" w:hAnsi="宋体"/>
                <w:sz w:val="24"/>
              </w:rPr>
            </w:pPr>
            <w:r>
              <w:rPr>
                <w:rFonts w:hint="eastAsia" w:ascii="宋体" w:hAnsi="宋体"/>
                <w:sz w:val="24"/>
              </w:rPr>
              <w:t>提交最终成果后30个工作日内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676" w:type="dxa"/>
            <w:vAlign w:val="center"/>
          </w:tcPr>
          <w:p>
            <w:pPr>
              <w:jc w:val="center"/>
              <w:rPr>
                <w:rFonts w:hint="eastAsia" w:ascii="宋体" w:hAnsi="宋体"/>
                <w:sz w:val="24"/>
              </w:rPr>
            </w:pPr>
            <w:r>
              <w:rPr>
                <w:rFonts w:hint="eastAsia" w:ascii="宋体" w:hAnsi="宋体"/>
                <w:sz w:val="24"/>
              </w:rPr>
              <w:t>合      计</w:t>
            </w:r>
          </w:p>
        </w:tc>
        <w:tc>
          <w:tcPr>
            <w:tcW w:w="1900" w:type="dxa"/>
            <w:vAlign w:val="center"/>
          </w:tcPr>
          <w:p>
            <w:pPr>
              <w:jc w:val="center"/>
              <w:rPr>
                <w:rFonts w:hint="eastAsia" w:ascii="宋体" w:hAnsi="宋体"/>
                <w:sz w:val="24"/>
              </w:rPr>
            </w:pPr>
          </w:p>
        </w:tc>
        <w:tc>
          <w:tcPr>
            <w:tcW w:w="1413" w:type="dxa"/>
            <w:vAlign w:val="center"/>
          </w:tcPr>
          <w:p>
            <w:pPr>
              <w:jc w:val="center"/>
              <w:rPr>
                <w:rFonts w:hint="eastAsia" w:ascii="宋体" w:hAnsi="宋体"/>
                <w:sz w:val="24"/>
              </w:rPr>
            </w:pPr>
          </w:p>
        </w:tc>
        <w:tc>
          <w:tcPr>
            <w:tcW w:w="3471" w:type="dxa"/>
            <w:vAlign w:val="center"/>
          </w:tcPr>
          <w:p>
            <w:pPr>
              <w:jc w:val="center"/>
              <w:rPr>
                <w:rFonts w:hint="eastAsia" w:ascii="宋体" w:hAnsi="宋体"/>
                <w:sz w:val="24"/>
              </w:rPr>
            </w:pPr>
          </w:p>
        </w:tc>
      </w:tr>
    </w:tbl>
    <w:p>
      <w:pPr>
        <w:spacing w:line="340" w:lineRule="exact"/>
        <w:ind w:firstLine="480" w:firstLineChars="200"/>
        <w:rPr>
          <w:rFonts w:ascii="宋体" w:hAnsi="宋体"/>
          <w:sz w:val="24"/>
          <w:szCs w:val="24"/>
        </w:rPr>
      </w:pPr>
      <w:r>
        <w:rPr>
          <w:rFonts w:hint="eastAsia" w:ascii="宋体" w:hAnsi="宋体"/>
          <w:sz w:val="24"/>
          <w:szCs w:val="24"/>
        </w:rPr>
        <w:t>说明：</w:t>
      </w:r>
    </w:p>
    <w:p>
      <w:pPr>
        <w:spacing w:line="340" w:lineRule="exact"/>
        <w:ind w:firstLine="480" w:firstLineChars="200"/>
        <w:rPr>
          <w:rFonts w:hint="eastAsia" w:ascii="宋体" w:hAnsi="宋体"/>
          <w:sz w:val="24"/>
          <w:szCs w:val="24"/>
        </w:rPr>
      </w:pPr>
      <w:r>
        <w:rPr>
          <w:rFonts w:hint="eastAsia" w:ascii="宋体" w:hAnsi="宋体"/>
          <w:sz w:val="24"/>
          <w:szCs w:val="24"/>
        </w:rPr>
        <w:t>（1）委托项目规模、内容发生变化时，按以上计算规则重新计算规划编制费用。</w:t>
      </w:r>
    </w:p>
    <w:p>
      <w:pPr>
        <w:spacing w:line="340" w:lineRule="exact"/>
        <w:ind w:firstLine="480" w:firstLineChars="200"/>
        <w:rPr>
          <w:rFonts w:hAnsi="宋体"/>
          <w:sz w:val="24"/>
          <w:szCs w:val="24"/>
        </w:rPr>
      </w:pPr>
      <w:r>
        <w:rPr>
          <w:rFonts w:hint="eastAsia" w:ascii="宋体" w:hAnsi="宋体"/>
          <w:sz w:val="24"/>
          <w:szCs w:val="24"/>
        </w:rPr>
        <w:t>（2）</w:t>
      </w:r>
      <w:r>
        <w:rPr>
          <w:rFonts w:hint="eastAsia" w:hAnsi="宋体"/>
          <w:sz w:val="24"/>
          <w:szCs w:val="24"/>
        </w:rPr>
        <w:t>双方经济往来通过银行收付结算业务进行，以银行转付款凭证为准。具体的银行账户信息见本合同签章页。</w:t>
      </w:r>
      <w:r>
        <w:rPr>
          <w:rFonts w:hAnsi="宋体"/>
          <w:sz w:val="24"/>
          <w:szCs w:val="24"/>
        </w:rPr>
        <w:t xml:space="preserve"> </w:t>
      </w:r>
    </w:p>
    <w:p>
      <w:pPr>
        <w:spacing w:line="340" w:lineRule="exact"/>
        <w:ind w:firstLine="480" w:firstLineChars="200"/>
        <w:rPr>
          <w:rFonts w:hint="eastAsia" w:hAnsi="宋体"/>
          <w:sz w:val="24"/>
          <w:szCs w:val="24"/>
        </w:rPr>
      </w:pPr>
      <w:r>
        <w:rPr>
          <w:rFonts w:hAnsi="宋体"/>
          <w:sz w:val="24"/>
          <w:szCs w:val="24"/>
        </w:rPr>
        <w:t>(3)</w:t>
      </w:r>
      <w:r>
        <w:rPr>
          <w:rFonts w:hint="eastAsia" w:hAnsi="宋体"/>
          <w:sz w:val="24"/>
          <w:szCs w:val="24"/>
        </w:rPr>
        <w:t>甲方</w:t>
      </w:r>
      <w:r>
        <w:rPr>
          <w:rFonts w:hAnsi="宋体"/>
          <w:sz w:val="24"/>
          <w:szCs w:val="24"/>
        </w:rPr>
        <w:t>付费之前应当收到</w:t>
      </w:r>
      <w:r>
        <w:rPr>
          <w:rFonts w:hint="eastAsia" w:hAnsi="宋体"/>
          <w:sz w:val="24"/>
          <w:szCs w:val="24"/>
        </w:rPr>
        <w:t>乙方</w:t>
      </w:r>
      <w:r>
        <w:rPr>
          <w:rFonts w:hAnsi="宋体"/>
          <w:sz w:val="24"/>
          <w:szCs w:val="24"/>
        </w:rPr>
        <w:t>出具的合法的发票。</w:t>
      </w:r>
    </w:p>
    <w:p>
      <w:pPr>
        <w:spacing w:beforeLines="50" w:line="460" w:lineRule="exact"/>
        <w:ind w:firstLine="472" w:firstLineChars="196"/>
        <w:rPr>
          <w:rFonts w:hint="eastAsia" w:ascii="宋体" w:hAnsi="宋体" w:cs="宋体"/>
          <w:b/>
          <w:sz w:val="24"/>
        </w:rPr>
      </w:pPr>
      <w:r>
        <w:rPr>
          <w:rFonts w:hint="eastAsia" w:ascii="宋体" w:hAnsi="宋体" w:cs="宋体"/>
          <w:b/>
          <w:sz w:val="24"/>
        </w:rPr>
        <w:t>第六条  保密</w:t>
      </w:r>
    </w:p>
    <w:p>
      <w:pPr>
        <w:autoSpaceDE w:val="0"/>
        <w:autoSpaceDN w:val="0"/>
        <w:adjustRightInd w:val="0"/>
        <w:spacing w:line="440" w:lineRule="exact"/>
        <w:ind w:firstLine="482" w:firstLineChars="200"/>
        <w:jc w:val="left"/>
        <w:rPr>
          <w:rFonts w:hint="eastAsia" w:ascii="宋体" w:hAnsi="宋体" w:cs="宋体"/>
          <w:kern w:val="0"/>
          <w:sz w:val="24"/>
        </w:rPr>
      </w:pPr>
      <w:r>
        <w:rPr>
          <w:rFonts w:hint="eastAsia" w:ascii="宋体" w:hAnsi="宋体" w:cs="宋体"/>
          <w:b/>
          <w:bCs/>
          <w:kern w:val="0"/>
          <w:sz w:val="24"/>
        </w:rPr>
        <w:t>6.1</w:t>
      </w:r>
      <w:r>
        <w:rPr>
          <w:rFonts w:hint="eastAsia" w:ascii="宋体" w:hAnsi="宋体" w:cs="宋体"/>
          <w:kern w:val="0"/>
          <w:sz w:val="24"/>
        </w:rPr>
        <w:t xml:space="preserve"> </w:t>
      </w:r>
      <w:r>
        <w:rPr>
          <w:rFonts w:hint="eastAsia" w:ascii="宋体" w:hAnsi="宋体" w:cs="宋体"/>
          <w:bCs/>
          <w:kern w:val="0"/>
          <w:sz w:val="24"/>
        </w:rPr>
        <w:t>规划编制过程中，乙方采用的研发及新技术等，甲方应负有保密责任，未经乙方同意</w:t>
      </w:r>
      <w:r>
        <w:rPr>
          <w:rFonts w:hint="eastAsia" w:ascii="宋体" w:hAnsi="宋体" w:cs="宋体"/>
          <w:kern w:val="0"/>
          <w:sz w:val="24"/>
        </w:rPr>
        <w:t>不得向第三方泄露。</w:t>
      </w:r>
    </w:p>
    <w:p>
      <w:pPr>
        <w:autoSpaceDE w:val="0"/>
        <w:autoSpaceDN w:val="0"/>
        <w:adjustRightInd w:val="0"/>
        <w:spacing w:line="440" w:lineRule="exact"/>
        <w:ind w:firstLine="482" w:firstLineChars="200"/>
        <w:jc w:val="left"/>
        <w:rPr>
          <w:rFonts w:hint="eastAsia"/>
          <w:szCs w:val="21"/>
        </w:rPr>
      </w:pPr>
      <w:r>
        <w:rPr>
          <w:rFonts w:hint="eastAsia" w:ascii="宋体" w:hAnsi="宋体" w:cs="宋体"/>
          <w:b/>
          <w:bCs/>
          <w:kern w:val="0"/>
          <w:sz w:val="24"/>
        </w:rPr>
        <w:t xml:space="preserve">6.2 </w:t>
      </w:r>
      <w:r>
        <w:rPr>
          <w:rFonts w:hint="eastAsia" w:ascii="宋体" w:hAnsi="宋体" w:cs="宋体"/>
          <w:kern w:val="0"/>
          <w:sz w:val="24"/>
        </w:rPr>
        <w:t>乙方应对甲方提供的资料、图纸、文件负有保密责任，不得向第三方泄露、转让。</w:t>
      </w:r>
    </w:p>
    <w:p>
      <w:pPr>
        <w:spacing w:beforeLines="50" w:line="460" w:lineRule="exact"/>
        <w:ind w:firstLine="472" w:firstLineChars="196"/>
        <w:rPr>
          <w:rFonts w:hint="eastAsia" w:ascii="宋体" w:hAnsi="宋体" w:cs="宋体"/>
          <w:b/>
          <w:bCs/>
          <w:kern w:val="0"/>
          <w:sz w:val="24"/>
        </w:rPr>
      </w:pPr>
      <w:r>
        <w:rPr>
          <w:rFonts w:hint="eastAsia" w:ascii="宋体" w:hAnsi="宋体" w:cs="宋体"/>
          <w:b/>
          <w:sz w:val="24"/>
        </w:rPr>
        <w:t>第七</w:t>
      </w:r>
      <w:r>
        <w:rPr>
          <w:rFonts w:hint="eastAsia" w:ascii="宋体" w:hAnsi="宋体" w:cs="宋体"/>
          <w:b/>
          <w:bCs/>
          <w:kern w:val="0"/>
          <w:sz w:val="24"/>
        </w:rPr>
        <w:t>条  知识产权</w:t>
      </w:r>
    </w:p>
    <w:p>
      <w:pPr>
        <w:spacing w:line="460" w:lineRule="exact"/>
        <w:ind w:firstLine="465"/>
        <w:rPr>
          <w:rFonts w:hint="eastAsia" w:hAnsi="宋体"/>
          <w:sz w:val="24"/>
          <w:szCs w:val="28"/>
        </w:rPr>
      </w:pPr>
      <w:r>
        <w:rPr>
          <w:rFonts w:hint="eastAsia" w:ascii="宋体" w:hAnsi="宋体" w:cs="宋体"/>
          <w:b/>
          <w:bCs/>
          <w:kern w:val="0"/>
          <w:sz w:val="24"/>
        </w:rPr>
        <w:t>7.1</w:t>
      </w:r>
      <w:r>
        <w:rPr>
          <w:rFonts w:hint="eastAsia" w:ascii="宋体" w:hAnsi="宋体" w:cs="宋体"/>
          <w:kern w:val="0"/>
          <w:sz w:val="24"/>
        </w:rPr>
        <w:t>甲方</w:t>
      </w:r>
      <w:r>
        <w:rPr>
          <w:rFonts w:hint="eastAsia" w:ascii="宋体" w:hAnsi="宋体"/>
          <w:sz w:val="24"/>
        </w:rPr>
        <w:t>对本合同项下已足额支付费用的规划编制文件（文本、图纸)享有所有权，乙方享有规划编制文件成果</w:t>
      </w:r>
      <w:r>
        <w:rPr>
          <w:rFonts w:hint="eastAsia" w:ascii="宋体" w:hAnsi="宋体" w:cs="宋体"/>
          <w:kern w:val="0"/>
          <w:sz w:val="24"/>
        </w:rPr>
        <w:t>著作权。</w:t>
      </w:r>
    </w:p>
    <w:p>
      <w:pPr>
        <w:autoSpaceDE w:val="0"/>
        <w:autoSpaceDN w:val="0"/>
        <w:adjustRightInd w:val="0"/>
        <w:spacing w:line="440" w:lineRule="exact"/>
        <w:ind w:firstLine="482" w:firstLineChars="200"/>
        <w:jc w:val="left"/>
        <w:rPr>
          <w:rFonts w:hint="eastAsia" w:ascii="宋体" w:hAnsi="宋体" w:cs="宋体"/>
          <w:kern w:val="0"/>
          <w:sz w:val="24"/>
        </w:rPr>
      </w:pPr>
      <w:r>
        <w:rPr>
          <w:rFonts w:hint="eastAsia" w:ascii="宋体" w:hAnsi="宋体" w:cs="宋体"/>
          <w:b/>
          <w:bCs/>
          <w:sz w:val="24"/>
        </w:rPr>
        <w:t>7.</w:t>
      </w:r>
      <w:r>
        <w:rPr>
          <w:rFonts w:hint="eastAsia" w:cs="宋体"/>
          <w:b/>
          <w:bCs/>
          <w:sz w:val="24"/>
          <w:lang w:val="en-US" w:eastAsia="zh-CN"/>
        </w:rPr>
        <w:t>2</w:t>
      </w:r>
      <w:r>
        <w:rPr>
          <w:rFonts w:hint="eastAsia" w:ascii="宋体" w:hAnsi="宋体" w:cs="宋体"/>
          <w:b/>
          <w:bCs/>
          <w:sz w:val="24"/>
        </w:rPr>
        <w:t xml:space="preserve"> </w:t>
      </w:r>
      <w:r>
        <w:rPr>
          <w:rFonts w:hint="eastAsia" w:ascii="宋体" w:hAnsi="宋体" w:cs="宋体"/>
          <w:sz w:val="24"/>
        </w:rPr>
        <w:t>合同双方均有权在不损害对方利益和保密约定的前提下，在企业宣传、出版物学术交流、申报奖项等情形下公布项目有关的文字和图片材料。</w:t>
      </w:r>
    </w:p>
    <w:p>
      <w:pPr>
        <w:spacing w:beforeLines="50" w:line="460" w:lineRule="exact"/>
        <w:ind w:firstLine="482" w:firstLineChars="200"/>
        <w:rPr>
          <w:rFonts w:hint="eastAsia" w:ascii="宋体" w:hAnsi="宋体"/>
          <w:b/>
          <w:bCs/>
          <w:sz w:val="24"/>
        </w:rPr>
      </w:pPr>
      <w:r>
        <w:rPr>
          <w:rFonts w:hint="eastAsia" w:ascii="宋体" w:hAnsi="宋体"/>
          <w:b/>
          <w:bCs/>
          <w:sz w:val="24"/>
        </w:rPr>
        <w:t>第八条  双方责任</w:t>
      </w:r>
    </w:p>
    <w:p>
      <w:pPr>
        <w:spacing w:line="460" w:lineRule="exact"/>
        <w:ind w:firstLine="482" w:firstLineChars="200"/>
        <w:rPr>
          <w:rFonts w:ascii="宋体" w:hAnsi="宋体"/>
          <w:sz w:val="24"/>
        </w:rPr>
      </w:pPr>
      <w:r>
        <w:rPr>
          <w:rFonts w:hint="eastAsia" w:ascii="宋体" w:hAnsi="宋体"/>
          <w:b/>
          <w:bCs/>
          <w:sz w:val="24"/>
        </w:rPr>
        <w:t>8.1</w:t>
      </w:r>
      <w:r>
        <w:rPr>
          <w:rFonts w:hint="eastAsia" w:ascii="宋体" w:hAnsi="宋体"/>
          <w:sz w:val="24"/>
        </w:rPr>
        <w:t xml:space="preserve"> 甲方责任</w:t>
      </w:r>
    </w:p>
    <w:p>
      <w:pPr>
        <w:spacing w:line="460" w:lineRule="exact"/>
        <w:ind w:firstLine="482" w:firstLineChars="200"/>
        <w:rPr>
          <w:rFonts w:hint="eastAsia" w:ascii="宋体" w:hAnsi="宋体"/>
          <w:b/>
          <w:bCs/>
          <w:sz w:val="24"/>
          <w:lang w:val="en-US" w:eastAsia="zh-CN"/>
        </w:rPr>
      </w:pPr>
      <w:r>
        <w:rPr>
          <w:rFonts w:hint="eastAsia" w:ascii="宋体" w:hAnsi="宋体"/>
          <w:b/>
          <w:bCs/>
          <w:sz w:val="24"/>
        </w:rPr>
        <w:t>8.1.</w:t>
      </w:r>
      <w:r>
        <w:rPr>
          <w:rFonts w:hint="eastAsia"/>
          <w:b/>
          <w:bCs/>
          <w:sz w:val="24"/>
          <w:lang w:val="en-US" w:eastAsia="zh-CN"/>
        </w:rPr>
        <w:t>1</w:t>
      </w:r>
      <w:r>
        <w:rPr>
          <w:rFonts w:hint="eastAsia" w:ascii="宋体" w:hAnsi="宋体"/>
          <w:b/>
          <w:bCs/>
          <w:sz w:val="24"/>
        </w:rPr>
        <w:t xml:space="preserve"> </w:t>
      </w:r>
      <w:r>
        <w:rPr>
          <w:rFonts w:hint="eastAsia" w:hAnsi="宋体"/>
          <w:sz w:val="24"/>
          <w:szCs w:val="28"/>
          <w:lang w:val="en-US" w:eastAsia="zh-CN"/>
        </w:rPr>
        <w:t>如甲方需对最终确认方案做出修改，应提前与乙方协商，</w:t>
      </w:r>
      <w:r>
        <w:rPr>
          <w:rFonts w:hint="eastAsia"/>
          <w:sz w:val="24"/>
          <w:szCs w:val="28"/>
          <w:lang w:val="en-US" w:eastAsia="zh-CN"/>
        </w:rPr>
        <w:t>并</w:t>
      </w:r>
      <w:r>
        <w:rPr>
          <w:rFonts w:hint="eastAsia" w:hAnsi="宋体"/>
          <w:sz w:val="24"/>
          <w:szCs w:val="28"/>
          <w:lang w:val="en-US" w:eastAsia="zh-CN"/>
        </w:rPr>
        <w:t>适当调整相应期限。</w:t>
      </w:r>
    </w:p>
    <w:p>
      <w:pPr>
        <w:spacing w:line="460" w:lineRule="exact"/>
        <w:ind w:firstLine="482" w:firstLineChars="200"/>
        <w:rPr>
          <w:rFonts w:hint="default" w:ascii="宋体" w:hAnsi="宋体" w:eastAsia="宋体"/>
          <w:sz w:val="24"/>
          <w:lang w:val="en-US" w:eastAsia="zh-CN"/>
        </w:rPr>
      </w:pPr>
      <w:r>
        <w:rPr>
          <w:rFonts w:hint="eastAsia" w:ascii="宋体" w:hAnsi="宋体"/>
          <w:b/>
          <w:bCs/>
          <w:sz w:val="24"/>
        </w:rPr>
        <w:t>8.1.</w:t>
      </w:r>
      <w:r>
        <w:rPr>
          <w:rFonts w:hint="eastAsia"/>
          <w:b/>
          <w:bCs/>
          <w:sz w:val="24"/>
          <w:lang w:val="en-US" w:eastAsia="zh-CN"/>
        </w:rPr>
        <w:t>2</w:t>
      </w:r>
      <w:r>
        <w:rPr>
          <w:rFonts w:hint="eastAsia" w:ascii="宋体" w:hAnsi="宋体"/>
          <w:b/>
          <w:bCs/>
          <w:sz w:val="24"/>
        </w:rPr>
        <w:t xml:space="preserve"> </w:t>
      </w:r>
      <w:r>
        <w:rPr>
          <w:rFonts w:hint="eastAsia"/>
          <w:sz w:val="24"/>
          <w:lang w:val="en-US" w:eastAsia="zh-CN"/>
        </w:rPr>
        <w:t>甲方有责任在本合同签署后向乙方提供项目开展所需的资料</w:t>
      </w:r>
    </w:p>
    <w:p>
      <w:pPr>
        <w:spacing w:line="460" w:lineRule="exact"/>
        <w:ind w:firstLine="480"/>
        <w:rPr>
          <w:rFonts w:hint="default" w:hAnsi="宋体" w:eastAsia="宋体"/>
          <w:sz w:val="24"/>
          <w:szCs w:val="28"/>
          <w:lang w:val="en-US" w:eastAsia="zh-CN"/>
        </w:rPr>
      </w:pPr>
      <w:r>
        <w:rPr>
          <w:rFonts w:hint="eastAsia" w:ascii="宋体" w:hAnsi="宋体"/>
          <w:b/>
          <w:bCs/>
          <w:sz w:val="24"/>
        </w:rPr>
        <w:t>8.1.</w:t>
      </w:r>
      <w:r>
        <w:rPr>
          <w:rFonts w:hint="eastAsia"/>
          <w:b/>
          <w:bCs/>
          <w:sz w:val="24"/>
          <w:lang w:val="en-US" w:eastAsia="zh-CN"/>
        </w:rPr>
        <w:t>3</w:t>
      </w:r>
      <w:r>
        <w:rPr>
          <w:rFonts w:hint="eastAsia" w:ascii="宋体" w:hAnsi="宋体"/>
          <w:b/>
          <w:bCs/>
          <w:sz w:val="24"/>
        </w:rPr>
        <w:t xml:space="preserve"> </w:t>
      </w:r>
      <w:r>
        <w:rPr>
          <w:rFonts w:hint="eastAsia"/>
          <w:sz w:val="24"/>
          <w:lang w:val="en-US" w:eastAsia="zh-CN"/>
        </w:rPr>
        <w:t>甲方有责任在规划编制过程中给予乙方积极配合与支持。</w:t>
      </w:r>
    </w:p>
    <w:p>
      <w:pPr>
        <w:spacing w:line="460" w:lineRule="exact"/>
        <w:ind w:firstLine="482" w:firstLineChars="200"/>
        <w:rPr>
          <w:rFonts w:hint="eastAsia"/>
          <w:sz w:val="24"/>
          <w:lang w:val="en-US" w:eastAsia="zh-CN"/>
        </w:rPr>
      </w:pPr>
      <w:r>
        <w:rPr>
          <w:rFonts w:hint="eastAsia" w:ascii="宋体" w:hAnsi="宋体"/>
          <w:b/>
          <w:bCs/>
          <w:sz w:val="24"/>
        </w:rPr>
        <w:t>8.1.</w:t>
      </w:r>
      <w:r>
        <w:rPr>
          <w:rFonts w:hint="eastAsia"/>
          <w:b/>
          <w:bCs/>
          <w:sz w:val="24"/>
          <w:lang w:val="en-US" w:eastAsia="zh-CN"/>
        </w:rPr>
        <w:t xml:space="preserve">4 </w:t>
      </w:r>
      <w:r>
        <w:rPr>
          <w:rFonts w:hint="eastAsia"/>
          <w:sz w:val="24"/>
          <w:lang w:val="en-US" w:eastAsia="zh-CN"/>
        </w:rPr>
        <w:t>甲方须按本合同规定的付款方式按时支付服务费用。</w:t>
      </w:r>
    </w:p>
    <w:p>
      <w:pPr>
        <w:spacing w:line="460" w:lineRule="exact"/>
        <w:ind w:firstLine="482" w:firstLineChars="200"/>
        <w:rPr>
          <w:rFonts w:hint="default" w:eastAsia="宋体"/>
          <w:bCs/>
          <w:sz w:val="24"/>
          <w:szCs w:val="28"/>
          <w:lang w:val="en-US" w:eastAsia="zh-CN"/>
        </w:rPr>
      </w:pPr>
      <w:r>
        <w:rPr>
          <w:rFonts w:hint="eastAsia"/>
          <w:b/>
          <w:bCs/>
          <w:sz w:val="24"/>
        </w:rPr>
        <w:t>8.1.</w:t>
      </w:r>
      <w:r>
        <w:rPr>
          <w:rFonts w:hint="eastAsia"/>
          <w:b/>
          <w:bCs/>
          <w:sz w:val="24"/>
          <w:lang w:val="en-US" w:eastAsia="zh-CN"/>
        </w:rPr>
        <w:t>5</w:t>
      </w:r>
      <w:r>
        <w:rPr>
          <w:rFonts w:hint="eastAsia"/>
          <w:b/>
          <w:bCs/>
          <w:sz w:val="24"/>
        </w:rPr>
        <w:t xml:space="preserve"> </w:t>
      </w:r>
      <w:r>
        <w:rPr>
          <w:rFonts w:hint="eastAsia" w:ascii="宋体" w:hAnsi="宋体" w:eastAsia="宋体" w:cs="宋体"/>
          <w:color w:val="auto"/>
          <w:kern w:val="0"/>
          <w:sz w:val="24"/>
          <w:szCs w:val="22"/>
          <w:lang w:val="en-US" w:eastAsia="zh-CN" w:bidi="zh-CN"/>
        </w:rPr>
        <w:t>甲方有权监督乙方工作，并督导完成。</w:t>
      </w:r>
    </w:p>
    <w:p>
      <w:pPr>
        <w:spacing w:line="460" w:lineRule="exact"/>
        <w:ind w:firstLine="482" w:firstLineChars="200"/>
        <w:rPr>
          <w:rFonts w:ascii="宋体" w:hAnsi="宋体"/>
          <w:b/>
          <w:bCs/>
          <w:sz w:val="24"/>
        </w:rPr>
      </w:pPr>
      <w:r>
        <w:rPr>
          <w:rFonts w:hint="eastAsia" w:ascii="宋体" w:hAnsi="宋体"/>
          <w:b/>
          <w:bCs/>
          <w:sz w:val="24"/>
        </w:rPr>
        <w:t xml:space="preserve">8.2 </w:t>
      </w:r>
      <w:r>
        <w:rPr>
          <w:rFonts w:hint="eastAsia" w:ascii="宋体" w:hAnsi="宋体"/>
          <w:bCs/>
          <w:sz w:val="24"/>
        </w:rPr>
        <w:t>乙方</w:t>
      </w:r>
      <w:r>
        <w:rPr>
          <w:rFonts w:ascii="宋体" w:hAnsi="宋体"/>
          <w:bCs/>
          <w:sz w:val="24"/>
        </w:rPr>
        <w:t>责任</w:t>
      </w:r>
      <w:r>
        <w:rPr>
          <w:rFonts w:hint="eastAsia" w:ascii="宋体" w:hAnsi="宋体"/>
          <w:b/>
          <w:bCs/>
          <w:sz w:val="24"/>
        </w:rPr>
        <w:t xml:space="preserve">  </w:t>
      </w:r>
      <w:r>
        <w:rPr>
          <w:rFonts w:ascii="宋体" w:hAnsi="宋体"/>
          <w:b/>
          <w:bCs/>
          <w:sz w:val="24"/>
        </w:rPr>
        <w:t xml:space="preserve">       </w:t>
      </w:r>
    </w:p>
    <w:p>
      <w:pPr>
        <w:spacing w:line="460" w:lineRule="exact"/>
        <w:ind w:firstLine="482" w:firstLineChars="200"/>
        <w:rPr>
          <w:rFonts w:hint="eastAsia" w:ascii="宋体" w:hAnsi="宋体"/>
          <w:b/>
          <w:bCs/>
          <w:sz w:val="24"/>
        </w:rPr>
      </w:pPr>
      <w:r>
        <w:rPr>
          <w:rFonts w:hint="eastAsia" w:ascii="宋体" w:hAnsi="宋体"/>
          <w:b/>
          <w:bCs/>
          <w:sz w:val="24"/>
        </w:rPr>
        <w:t>8.2.2</w:t>
      </w:r>
      <w:r>
        <w:rPr>
          <w:rFonts w:hint="eastAsia"/>
          <w:b/>
          <w:bCs/>
          <w:sz w:val="24"/>
          <w:lang w:val="en-US" w:eastAsia="zh-CN"/>
        </w:rPr>
        <w:t xml:space="preserve"> </w:t>
      </w:r>
      <w:r>
        <w:rPr>
          <w:rFonts w:hint="eastAsia" w:ascii="宋体" w:hAnsi="宋体" w:eastAsia="宋体" w:cs="宋体"/>
          <w:color w:val="auto"/>
          <w:kern w:val="0"/>
          <w:sz w:val="24"/>
          <w:szCs w:val="22"/>
          <w:lang w:val="en-US" w:eastAsia="zh-CN" w:bidi="zh-CN"/>
        </w:rPr>
        <w:t>如甲方对最终确认方案做出修改，需提前与乙方协商，乙方有权要求甲方调整交付期限。</w:t>
      </w:r>
      <w:r>
        <w:rPr>
          <w:rFonts w:hint="eastAsia" w:ascii="宋体" w:hAnsi="宋体"/>
          <w:b/>
          <w:bCs/>
          <w:sz w:val="24"/>
        </w:rPr>
        <w:t xml:space="preserve"> </w:t>
      </w:r>
    </w:p>
    <w:p>
      <w:pPr>
        <w:spacing w:line="460" w:lineRule="exact"/>
        <w:ind w:firstLine="482" w:firstLineChars="200"/>
        <w:rPr>
          <w:rFonts w:hint="eastAsia" w:ascii="宋体" w:hAnsi="宋体" w:eastAsia="宋体" w:cs="宋体"/>
          <w:color w:val="auto"/>
          <w:kern w:val="0"/>
          <w:sz w:val="24"/>
          <w:szCs w:val="22"/>
          <w:lang w:val="en-US" w:eastAsia="zh-CN" w:bidi="zh-CN"/>
        </w:rPr>
      </w:pPr>
      <w:r>
        <w:rPr>
          <w:rFonts w:hint="eastAsia" w:ascii="宋体" w:hAnsi="宋体"/>
          <w:b/>
          <w:bCs/>
          <w:sz w:val="24"/>
        </w:rPr>
        <w:t xml:space="preserve">8.2.3 </w:t>
      </w:r>
      <w:r>
        <w:rPr>
          <w:rFonts w:hint="eastAsia" w:ascii="宋体" w:hAnsi="宋体" w:eastAsia="宋体" w:cs="宋体"/>
          <w:color w:val="auto"/>
          <w:kern w:val="0"/>
          <w:sz w:val="24"/>
          <w:szCs w:val="22"/>
          <w:lang w:val="en-US" w:eastAsia="zh-CN" w:bidi="zh-CN"/>
        </w:rPr>
        <w:t>乙方应保守甲方的商业秘密，对甲方提供的所有资料不得外泄或者用作其他用途。若因乙方原因，导致资料丢失或外泄，给甲方造成损失的，应给予赔偿。</w:t>
      </w:r>
    </w:p>
    <w:p>
      <w:pPr>
        <w:pStyle w:val="4"/>
        <w:ind w:firstLine="482" w:firstLineChars="200"/>
        <w:jc w:val="both"/>
        <w:rPr>
          <w:rFonts w:hint="eastAsia" w:ascii="宋体" w:hAnsi="宋体" w:eastAsia="宋体" w:cs="宋体"/>
          <w:b w:val="0"/>
          <w:bCs w:val="0"/>
          <w:color w:val="auto"/>
          <w:kern w:val="0"/>
          <w:sz w:val="24"/>
          <w:szCs w:val="22"/>
          <w:lang w:val="en-US" w:eastAsia="zh-CN" w:bidi="zh-CN"/>
        </w:rPr>
      </w:pPr>
      <w:r>
        <w:rPr>
          <w:rFonts w:hint="eastAsia" w:ascii="宋体" w:hAnsi="宋体"/>
          <w:b/>
          <w:bCs/>
          <w:sz w:val="24"/>
        </w:rPr>
        <w:t>8.2.</w:t>
      </w:r>
      <w:r>
        <w:rPr>
          <w:rFonts w:hint="eastAsia"/>
          <w:b/>
          <w:bCs/>
          <w:sz w:val="24"/>
          <w:lang w:val="en-US" w:eastAsia="zh-CN"/>
        </w:rPr>
        <w:t>4 乙</w:t>
      </w:r>
      <w:r>
        <w:rPr>
          <w:rFonts w:hint="eastAsia" w:ascii="宋体" w:hAnsi="宋体" w:eastAsia="宋体" w:cs="宋体"/>
          <w:b w:val="0"/>
          <w:bCs w:val="0"/>
          <w:color w:val="auto"/>
          <w:kern w:val="0"/>
          <w:sz w:val="24"/>
          <w:szCs w:val="22"/>
          <w:lang w:val="en-US" w:eastAsia="zh-CN" w:bidi="zh-CN"/>
        </w:rPr>
        <w:t>方应负责按甲方要求进行工作，以便于甲方使用。</w:t>
      </w:r>
    </w:p>
    <w:p>
      <w:pPr>
        <w:ind w:firstLine="482" w:firstLineChars="200"/>
        <w:rPr>
          <w:rFonts w:hint="eastAsia" w:cs="宋体"/>
          <w:b w:val="0"/>
          <w:bCs w:val="0"/>
          <w:color w:val="auto"/>
          <w:kern w:val="0"/>
          <w:sz w:val="24"/>
          <w:szCs w:val="22"/>
          <w:lang w:val="en-US" w:eastAsia="zh-CN" w:bidi="zh-CN"/>
        </w:rPr>
      </w:pPr>
      <w:r>
        <w:rPr>
          <w:rFonts w:hint="eastAsia" w:ascii="宋体" w:hAnsi="宋体"/>
          <w:b/>
          <w:bCs/>
          <w:sz w:val="24"/>
        </w:rPr>
        <w:t>8.2.</w:t>
      </w:r>
      <w:r>
        <w:rPr>
          <w:rFonts w:hint="eastAsia"/>
          <w:b/>
          <w:bCs/>
          <w:sz w:val="24"/>
          <w:lang w:val="en-US" w:eastAsia="zh-CN"/>
        </w:rPr>
        <w:t xml:space="preserve">5 </w:t>
      </w:r>
      <w:r>
        <w:rPr>
          <w:rFonts w:hint="eastAsia" w:ascii="宋体" w:hAnsi="宋体" w:eastAsia="宋体" w:cs="宋体"/>
          <w:b w:val="0"/>
          <w:bCs w:val="0"/>
          <w:color w:val="auto"/>
          <w:kern w:val="0"/>
          <w:sz w:val="24"/>
          <w:szCs w:val="22"/>
          <w:lang w:val="en-US" w:eastAsia="zh-CN" w:bidi="zh-CN"/>
        </w:rPr>
        <w:t>除甲方事先书面同意外，乙方不得部分或全部转让其应履行的合同项下的义务</w:t>
      </w:r>
      <w:r>
        <w:rPr>
          <w:rFonts w:hint="eastAsia" w:cs="宋体"/>
          <w:b w:val="0"/>
          <w:bCs w:val="0"/>
          <w:color w:val="auto"/>
          <w:kern w:val="0"/>
          <w:sz w:val="24"/>
          <w:szCs w:val="22"/>
          <w:lang w:val="en-US" w:eastAsia="zh-CN" w:bidi="zh-CN"/>
        </w:rPr>
        <w:t>。</w:t>
      </w:r>
    </w:p>
    <w:p>
      <w:pPr>
        <w:ind w:firstLine="482" w:firstLineChars="200"/>
        <w:rPr>
          <w:rFonts w:hint="eastAsia" w:ascii="宋体" w:hAnsi="宋体" w:eastAsia="宋体" w:cs="宋体"/>
          <w:b w:val="0"/>
          <w:bCs w:val="0"/>
          <w:color w:val="auto"/>
          <w:kern w:val="0"/>
          <w:sz w:val="24"/>
          <w:szCs w:val="22"/>
          <w:lang w:val="en-US" w:eastAsia="zh-CN" w:bidi="zh-CN"/>
        </w:rPr>
      </w:pPr>
      <w:r>
        <w:rPr>
          <w:rFonts w:hint="eastAsia" w:ascii="宋体" w:hAnsi="宋体"/>
          <w:b/>
          <w:bCs/>
          <w:sz w:val="24"/>
        </w:rPr>
        <w:t>8.2.</w:t>
      </w:r>
      <w:r>
        <w:rPr>
          <w:rFonts w:hint="eastAsia"/>
          <w:b/>
          <w:bCs/>
          <w:sz w:val="24"/>
          <w:lang w:val="en-US" w:eastAsia="zh-CN"/>
        </w:rPr>
        <w:t xml:space="preserve">6 </w:t>
      </w:r>
      <w:r>
        <w:rPr>
          <w:rFonts w:hint="eastAsia" w:ascii="宋体" w:hAnsi="宋体" w:eastAsia="宋体" w:cs="宋体"/>
          <w:b w:val="0"/>
          <w:bCs w:val="0"/>
          <w:color w:val="auto"/>
          <w:kern w:val="0"/>
          <w:sz w:val="24"/>
          <w:szCs w:val="22"/>
          <w:lang w:val="en-US" w:eastAsia="zh-CN" w:bidi="zh-CN"/>
        </w:rPr>
        <w:t>乙方应按照现行相关法律法规、规范性文件等进行规划设计工作，按本合同规定</w:t>
      </w:r>
      <w:r>
        <w:rPr>
          <w:rFonts w:hint="eastAsia" w:cs="宋体"/>
          <w:b w:val="0"/>
          <w:bCs w:val="0"/>
          <w:color w:val="auto"/>
          <w:kern w:val="0"/>
          <w:sz w:val="24"/>
          <w:szCs w:val="22"/>
          <w:lang w:val="en-US" w:eastAsia="zh-CN" w:bidi="zh-CN"/>
        </w:rPr>
        <w:t>向</w:t>
      </w:r>
      <w:r>
        <w:rPr>
          <w:rFonts w:hint="eastAsia" w:ascii="宋体" w:hAnsi="宋体" w:eastAsia="宋体" w:cs="宋体"/>
          <w:b w:val="0"/>
          <w:bCs w:val="0"/>
          <w:color w:val="auto"/>
          <w:kern w:val="0"/>
          <w:sz w:val="24"/>
          <w:szCs w:val="22"/>
          <w:lang w:val="en-US" w:eastAsia="zh-CN" w:bidi="zh-CN"/>
        </w:rPr>
        <w:t>甲方交付成果</w:t>
      </w:r>
      <w:r>
        <w:rPr>
          <w:rFonts w:hint="eastAsia" w:cs="宋体"/>
          <w:b w:val="0"/>
          <w:bCs w:val="0"/>
          <w:color w:val="auto"/>
          <w:kern w:val="0"/>
          <w:sz w:val="24"/>
          <w:szCs w:val="22"/>
          <w:lang w:val="en-US" w:eastAsia="zh-CN" w:bidi="zh-CN"/>
        </w:rPr>
        <w:t>（出现有关交付文件顺延的情况除外）。乙方应对服务过程和成果的合法性、</w:t>
      </w:r>
      <w:r>
        <w:rPr>
          <w:rFonts w:hint="eastAsia" w:ascii="宋体" w:hAnsi="宋体" w:eastAsia="宋体" w:cs="宋体"/>
          <w:b w:val="0"/>
          <w:bCs w:val="0"/>
          <w:color w:val="auto"/>
          <w:kern w:val="0"/>
          <w:sz w:val="24"/>
          <w:szCs w:val="22"/>
          <w:lang w:val="en-US" w:eastAsia="zh-CN" w:bidi="zh-CN"/>
        </w:rPr>
        <w:t>实用性和实效性负责。</w:t>
      </w:r>
    </w:p>
    <w:p>
      <w:pPr>
        <w:ind w:firstLine="482" w:firstLineChars="200"/>
        <w:rPr>
          <w:rFonts w:hint="eastAsia" w:cs="宋体"/>
          <w:b w:val="0"/>
          <w:bCs w:val="0"/>
          <w:color w:val="auto"/>
          <w:kern w:val="0"/>
          <w:sz w:val="24"/>
          <w:szCs w:val="22"/>
          <w:lang w:val="en-US" w:eastAsia="zh-CN" w:bidi="zh-CN"/>
        </w:rPr>
      </w:pPr>
      <w:r>
        <w:rPr>
          <w:rFonts w:hint="eastAsia" w:ascii="宋体" w:hAnsi="宋体"/>
          <w:b/>
          <w:bCs/>
          <w:sz w:val="24"/>
        </w:rPr>
        <w:t>8.2.</w:t>
      </w:r>
      <w:r>
        <w:rPr>
          <w:rFonts w:hint="eastAsia"/>
          <w:b/>
          <w:bCs/>
          <w:sz w:val="24"/>
          <w:lang w:val="en-US" w:eastAsia="zh-CN"/>
        </w:rPr>
        <w:t xml:space="preserve">7 </w:t>
      </w:r>
      <w:r>
        <w:rPr>
          <w:rFonts w:hint="eastAsia" w:cs="宋体"/>
          <w:b w:val="0"/>
          <w:bCs w:val="0"/>
          <w:color w:val="auto"/>
          <w:kern w:val="0"/>
          <w:sz w:val="24"/>
          <w:szCs w:val="22"/>
          <w:lang w:val="en-US" w:eastAsia="zh-CN" w:bidi="zh-CN"/>
        </w:rPr>
        <w:t>乙方应当采用相关保护措施保障工作人员及项目相关人员的安全，本项目期间发生安全事故的，由此产生的法律责任由乙方自行承担并负责赔偿。</w:t>
      </w:r>
    </w:p>
    <w:p>
      <w:pPr>
        <w:ind w:firstLine="482" w:firstLineChars="200"/>
        <w:rPr>
          <w:rFonts w:hint="eastAsia" w:cs="宋体"/>
          <w:b w:val="0"/>
          <w:bCs w:val="0"/>
          <w:color w:val="auto"/>
          <w:kern w:val="0"/>
          <w:sz w:val="24"/>
          <w:szCs w:val="22"/>
          <w:lang w:val="en-US" w:eastAsia="zh-CN" w:bidi="zh-CN"/>
        </w:rPr>
      </w:pPr>
      <w:r>
        <w:rPr>
          <w:rFonts w:hint="eastAsia" w:ascii="宋体" w:hAnsi="宋体"/>
          <w:b/>
          <w:bCs/>
          <w:sz w:val="24"/>
        </w:rPr>
        <w:t>8.2.</w:t>
      </w:r>
      <w:r>
        <w:rPr>
          <w:rFonts w:hint="eastAsia"/>
          <w:b/>
          <w:bCs/>
          <w:sz w:val="24"/>
          <w:lang w:val="en-US" w:eastAsia="zh-CN"/>
        </w:rPr>
        <w:t xml:space="preserve">8 </w:t>
      </w:r>
      <w:r>
        <w:rPr>
          <w:rFonts w:hint="eastAsia" w:cs="宋体"/>
          <w:b w:val="0"/>
          <w:bCs w:val="0"/>
          <w:color w:val="auto"/>
          <w:kern w:val="0"/>
          <w:sz w:val="24"/>
          <w:szCs w:val="22"/>
          <w:lang w:val="en-US" w:eastAsia="zh-CN" w:bidi="zh-CN"/>
        </w:rPr>
        <w:t>乙方接受并配合甲方对本项目的检查，不定期向甲方汇报工作进展情况。</w:t>
      </w:r>
    </w:p>
    <w:p>
      <w:pPr>
        <w:ind w:firstLine="482" w:firstLineChars="200"/>
        <w:rPr>
          <w:rFonts w:hint="default" w:ascii="宋体" w:hAnsi="宋体" w:eastAsia="宋体" w:cs="宋体"/>
          <w:b w:val="0"/>
          <w:bCs w:val="0"/>
          <w:color w:val="auto"/>
          <w:kern w:val="0"/>
          <w:sz w:val="24"/>
          <w:szCs w:val="22"/>
          <w:lang w:val="en-US" w:eastAsia="zh-CN" w:bidi="zh-CN"/>
        </w:rPr>
      </w:pPr>
      <w:r>
        <w:rPr>
          <w:rFonts w:hint="eastAsia" w:ascii="宋体" w:hAnsi="宋体"/>
          <w:b/>
          <w:bCs/>
          <w:sz w:val="24"/>
        </w:rPr>
        <w:t>8.2.</w:t>
      </w:r>
      <w:r>
        <w:rPr>
          <w:rFonts w:hint="eastAsia"/>
          <w:b/>
          <w:bCs/>
          <w:sz w:val="24"/>
          <w:lang w:val="en-US" w:eastAsia="zh-CN"/>
        </w:rPr>
        <w:t xml:space="preserve">9 </w:t>
      </w:r>
      <w:r>
        <w:rPr>
          <w:rFonts w:hint="eastAsia" w:cs="宋体"/>
          <w:b w:val="0"/>
          <w:bCs w:val="0"/>
          <w:color w:val="auto"/>
          <w:kern w:val="0"/>
          <w:sz w:val="24"/>
          <w:szCs w:val="22"/>
          <w:lang w:val="en-US" w:eastAsia="zh-CN" w:bidi="zh-CN"/>
        </w:rPr>
        <w:t>乙方应依据合同规定的工作内容和技术要求，组织具有相关工作经验及资质的工作人员提供项目服务，向甲方提供项目组织人员及其分工负责事项。</w:t>
      </w:r>
    </w:p>
    <w:p>
      <w:pPr>
        <w:spacing w:beforeLines="50" w:line="460" w:lineRule="exact"/>
        <w:ind w:firstLine="482" w:firstLineChars="200"/>
        <w:rPr>
          <w:rFonts w:hint="eastAsia" w:ascii="宋体" w:hAnsi="宋体"/>
          <w:b/>
          <w:bCs/>
          <w:sz w:val="24"/>
        </w:rPr>
      </w:pPr>
      <w:r>
        <w:rPr>
          <w:rFonts w:hint="eastAsia" w:ascii="宋体" w:hAnsi="宋体"/>
          <w:b/>
          <w:bCs/>
          <w:sz w:val="24"/>
        </w:rPr>
        <w:t>第九条</w:t>
      </w:r>
      <w:r>
        <w:rPr>
          <w:rFonts w:hint="eastAsia" w:ascii="宋体" w:hAnsi="宋体"/>
          <w:sz w:val="24"/>
        </w:rPr>
        <w:t xml:space="preserve"> </w:t>
      </w:r>
      <w:r>
        <w:rPr>
          <w:rFonts w:hint="eastAsia" w:ascii="宋体" w:hAnsi="宋体"/>
          <w:b/>
          <w:bCs/>
          <w:sz w:val="24"/>
        </w:rPr>
        <w:t xml:space="preserve"> 违约责任</w:t>
      </w:r>
    </w:p>
    <w:p>
      <w:pPr>
        <w:spacing w:line="460" w:lineRule="exact"/>
        <w:ind w:firstLine="482" w:firstLineChars="200"/>
        <w:rPr>
          <w:rFonts w:hint="eastAsia" w:ascii="宋体" w:hAnsi="宋体"/>
          <w:sz w:val="24"/>
        </w:rPr>
      </w:pPr>
      <w:r>
        <w:rPr>
          <w:rFonts w:hint="eastAsia" w:ascii="宋体" w:hAnsi="宋体"/>
          <w:b/>
          <w:bCs/>
          <w:sz w:val="24"/>
        </w:rPr>
        <w:t xml:space="preserve">9.1 </w:t>
      </w:r>
      <w:r>
        <w:rPr>
          <w:rFonts w:hint="eastAsia" w:ascii="宋体" w:hAnsi="宋体"/>
          <w:sz w:val="24"/>
        </w:rPr>
        <w:t>甲方未按本合同的规定按时、足额支付乙方规划编制费，应承担违约金，违约金按该阶段</w:t>
      </w:r>
      <w:r>
        <w:rPr>
          <w:rFonts w:hint="eastAsia" w:hAnsi="宋体"/>
          <w:bCs/>
          <w:sz w:val="24"/>
          <w:szCs w:val="28"/>
        </w:rPr>
        <w:t>规划编制</w:t>
      </w:r>
      <w:r>
        <w:rPr>
          <w:rFonts w:hint="eastAsia" w:ascii="宋体" w:hAnsi="宋体"/>
          <w:sz w:val="24"/>
        </w:rPr>
        <w:t>费的0.5‰每日计算。</w:t>
      </w:r>
    </w:p>
    <w:p>
      <w:pPr>
        <w:spacing w:line="460" w:lineRule="exact"/>
        <w:ind w:firstLine="482" w:firstLineChars="200"/>
        <w:rPr>
          <w:rFonts w:hint="eastAsia" w:ascii="宋体" w:hAnsi="宋体"/>
          <w:sz w:val="24"/>
        </w:rPr>
      </w:pPr>
      <w:r>
        <w:rPr>
          <w:rFonts w:hint="eastAsia" w:ascii="宋体" w:hAnsi="宋体"/>
          <w:b/>
          <w:bCs/>
          <w:sz w:val="24"/>
        </w:rPr>
        <w:t xml:space="preserve">9.2 </w:t>
      </w:r>
      <w:r>
        <w:rPr>
          <w:rFonts w:hint="eastAsia" w:ascii="宋体" w:hAnsi="宋体"/>
          <w:sz w:val="24"/>
        </w:rPr>
        <w:t>因乙方原因未按本合同如期交付规划编制文件，应承担违约金，违约金按该阶段</w:t>
      </w:r>
      <w:r>
        <w:rPr>
          <w:rFonts w:hint="eastAsia" w:hAnsi="宋体"/>
          <w:bCs/>
          <w:sz w:val="24"/>
          <w:szCs w:val="28"/>
        </w:rPr>
        <w:t>规划编制</w:t>
      </w:r>
      <w:r>
        <w:rPr>
          <w:rFonts w:hint="eastAsia" w:ascii="宋体" w:hAnsi="宋体"/>
          <w:sz w:val="24"/>
        </w:rPr>
        <w:t>费的0.5‰每日计算。</w:t>
      </w:r>
    </w:p>
    <w:p>
      <w:pPr>
        <w:pStyle w:val="10"/>
        <w:snapToGrid w:val="0"/>
        <w:spacing w:line="460" w:lineRule="exact"/>
        <w:ind w:firstLine="482" w:firstLineChars="200"/>
        <w:outlineLvl w:val="0"/>
        <w:rPr>
          <w:rFonts w:hint="eastAsia"/>
          <w:sz w:val="24"/>
        </w:rPr>
      </w:pPr>
      <w:r>
        <w:rPr>
          <w:rFonts w:hint="eastAsia"/>
          <w:b/>
          <w:sz w:val="24"/>
        </w:rPr>
        <w:t>9.3</w:t>
      </w:r>
      <w:r>
        <w:rPr>
          <w:rFonts w:hint="eastAsia"/>
          <w:sz w:val="24"/>
        </w:rPr>
        <w:t>合同生效后，</w:t>
      </w:r>
      <w:r>
        <w:rPr>
          <w:rFonts w:hint="eastAsia"/>
          <w:bCs/>
          <w:sz w:val="24"/>
          <w:szCs w:val="28"/>
        </w:rPr>
        <w:t>未经双方协商一致，甲方不得单方</w:t>
      </w:r>
      <w:r>
        <w:rPr>
          <w:rFonts w:hint="eastAsia"/>
          <w:sz w:val="24"/>
        </w:rPr>
        <w:t>解除或</w:t>
      </w:r>
      <w:r>
        <w:rPr>
          <w:rFonts w:hint="eastAsia"/>
          <w:bCs/>
          <w:sz w:val="24"/>
          <w:szCs w:val="28"/>
        </w:rPr>
        <w:t>终止</w:t>
      </w:r>
      <w:r>
        <w:rPr>
          <w:rFonts w:hint="eastAsia"/>
          <w:sz w:val="24"/>
        </w:rPr>
        <w:t>本合同，</w:t>
      </w:r>
      <w:r>
        <w:rPr>
          <w:rFonts w:hint="eastAsia" w:cs="宋体"/>
          <w:sz w:val="24"/>
        </w:rPr>
        <w:t xml:space="preserve">如单方解除合同或终止应当向乙方支付合同额20％的违约金。  </w:t>
      </w:r>
    </w:p>
    <w:p>
      <w:pPr>
        <w:pStyle w:val="10"/>
        <w:snapToGrid w:val="0"/>
        <w:spacing w:line="460" w:lineRule="exact"/>
        <w:ind w:firstLine="480" w:firstLineChars="200"/>
        <w:outlineLvl w:val="0"/>
        <w:rPr>
          <w:rFonts w:hint="eastAsia"/>
          <w:bCs/>
          <w:sz w:val="24"/>
          <w:szCs w:val="28"/>
        </w:rPr>
      </w:pPr>
      <w:r>
        <w:rPr>
          <w:rFonts w:hint="eastAsia"/>
          <w:sz w:val="24"/>
        </w:rPr>
        <w:t>因甲方原因经协商解除或终止合同的，</w:t>
      </w:r>
      <w:r>
        <w:rPr>
          <w:rFonts w:hint="eastAsia" w:cs="宋体"/>
          <w:sz w:val="24"/>
        </w:rPr>
        <w:t>甲方应向乙方支付合同额5％的违约金</w:t>
      </w:r>
      <w:r>
        <w:rPr>
          <w:rFonts w:hint="eastAsia"/>
          <w:sz w:val="24"/>
        </w:rPr>
        <w:t>；已开始工作的，甲方应根据乙方已完成的实际工作量，不足一半时，按该阶段规划编制费的一半支付；超过一半时，按该阶段规划编制费的全部支付。</w:t>
      </w:r>
    </w:p>
    <w:p>
      <w:pPr>
        <w:pStyle w:val="10"/>
        <w:snapToGrid w:val="0"/>
        <w:spacing w:line="460" w:lineRule="exact"/>
        <w:ind w:firstLine="482" w:firstLineChars="200"/>
        <w:outlineLvl w:val="0"/>
        <w:rPr>
          <w:rFonts w:hint="eastAsia"/>
          <w:sz w:val="24"/>
        </w:rPr>
      </w:pPr>
      <w:r>
        <w:rPr>
          <w:rFonts w:hint="eastAsia"/>
          <w:b/>
          <w:bCs/>
          <w:sz w:val="24"/>
        </w:rPr>
        <w:t>9.4</w:t>
      </w:r>
      <w:r>
        <w:rPr>
          <w:rFonts w:hint="eastAsia"/>
          <w:sz w:val="24"/>
        </w:rPr>
        <w:t>合同生效后，</w:t>
      </w:r>
      <w:r>
        <w:rPr>
          <w:rFonts w:hint="eastAsia"/>
          <w:bCs/>
          <w:sz w:val="24"/>
          <w:szCs w:val="28"/>
        </w:rPr>
        <w:t>未经双方协商一致，乙方不得单方</w:t>
      </w:r>
      <w:r>
        <w:rPr>
          <w:rFonts w:hint="eastAsia"/>
          <w:sz w:val="24"/>
        </w:rPr>
        <w:t>解除或终止本合同，</w:t>
      </w:r>
      <w:r>
        <w:rPr>
          <w:rFonts w:hint="eastAsia" w:cs="宋体"/>
          <w:sz w:val="24"/>
        </w:rPr>
        <w:t>如单方解除或终止合同应当向甲方支付合同额20％的违约金。</w:t>
      </w:r>
    </w:p>
    <w:p>
      <w:pPr>
        <w:autoSpaceDE w:val="0"/>
        <w:autoSpaceDN w:val="0"/>
        <w:adjustRightInd w:val="0"/>
        <w:spacing w:line="460" w:lineRule="exact"/>
        <w:ind w:firstLine="480" w:firstLineChars="200"/>
        <w:jc w:val="left"/>
        <w:rPr>
          <w:rFonts w:hint="eastAsia" w:hAnsi="宋体"/>
          <w:bCs/>
          <w:sz w:val="24"/>
          <w:szCs w:val="28"/>
        </w:rPr>
      </w:pPr>
      <w:r>
        <w:rPr>
          <w:rFonts w:hint="eastAsia" w:hAnsi="宋体"/>
          <w:sz w:val="24"/>
        </w:rPr>
        <w:t>因乙方原因经协商解除或终止合同的，</w:t>
      </w:r>
      <w:r>
        <w:rPr>
          <w:rFonts w:hint="eastAsia"/>
          <w:sz w:val="24"/>
          <w:szCs w:val="28"/>
        </w:rPr>
        <w:t>乙方</w:t>
      </w:r>
      <w:r>
        <w:rPr>
          <w:rFonts w:hint="eastAsia" w:ascii="宋体" w:hAnsi="宋体" w:cs="宋体"/>
          <w:kern w:val="0"/>
          <w:sz w:val="24"/>
        </w:rPr>
        <w:t>按照合同条款约定向甲方支付合同额5％的违约金。</w:t>
      </w:r>
    </w:p>
    <w:p>
      <w:pPr>
        <w:spacing w:line="460" w:lineRule="exact"/>
        <w:ind w:firstLine="482" w:firstLineChars="200"/>
        <w:rPr>
          <w:rFonts w:hint="eastAsia" w:ascii="宋体" w:hAnsi="宋体"/>
          <w:sz w:val="24"/>
        </w:rPr>
      </w:pPr>
      <w:r>
        <w:rPr>
          <w:rFonts w:hint="eastAsia" w:ascii="宋体" w:hAnsi="宋体"/>
          <w:b/>
          <w:bCs/>
          <w:sz w:val="24"/>
        </w:rPr>
        <w:t>9.</w:t>
      </w:r>
      <w:r>
        <w:rPr>
          <w:rFonts w:ascii="宋体" w:hAnsi="宋体"/>
          <w:b/>
          <w:bCs/>
          <w:sz w:val="24"/>
        </w:rPr>
        <w:t>5</w:t>
      </w:r>
      <w:r>
        <w:rPr>
          <w:rFonts w:hint="eastAsia" w:ascii="宋体" w:hAnsi="宋体"/>
          <w:b/>
          <w:bCs/>
          <w:sz w:val="24"/>
        </w:rPr>
        <w:t xml:space="preserve"> </w:t>
      </w:r>
      <w:r>
        <w:rPr>
          <w:rFonts w:hint="eastAsia" w:ascii="宋体" w:hAnsi="宋体"/>
          <w:sz w:val="24"/>
        </w:rPr>
        <w:t>其他违约责任按《中华人民共和国民法典》有关规定执行。</w:t>
      </w:r>
    </w:p>
    <w:p>
      <w:pPr>
        <w:spacing w:line="460" w:lineRule="exact"/>
        <w:rPr>
          <w:rFonts w:hint="eastAsia" w:ascii="宋体" w:hAnsi="宋体"/>
          <w:b/>
          <w:bCs/>
          <w:sz w:val="24"/>
        </w:rPr>
      </w:pPr>
      <w:r>
        <w:rPr>
          <w:rFonts w:hint="eastAsia" w:ascii="宋体" w:hAnsi="宋体"/>
          <w:sz w:val="24"/>
        </w:rPr>
        <w:t>　　</w:t>
      </w:r>
      <w:r>
        <w:rPr>
          <w:rFonts w:hint="eastAsia" w:ascii="宋体" w:hAnsi="宋体"/>
          <w:b/>
          <w:bCs/>
          <w:sz w:val="24"/>
        </w:rPr>
        <w:t>9.</w:t>
      </w:r>
      <w:r>
        <w:rPr>
          <w:rFonts w:ascii="宋体" w:hAnsi="宋体"/>
          <w:b/>
          <w:bCs/>
          <w:sz w:val="24"/>
        </w:rPr>
        <w:t>6</w:t>
      </w:r>
      <w:r>
        <w:rPr>
          <w:rFonts w:hint="eastAsia" w:ascii="宋体" w:hAnsi="宋体"/>
          <w:b/>
          <w:bCs/>
          <w:sz w:val="24"/>
        </w:rPr>
        <w:t xml:space="preserve"> </w:t>
      </w:r>
      <w:r>
        <w:rPr>
          <w:rFonts w:hint="eastAsia" w:ascii="宋体" w:hAnsi="宋体"/>
          <w:sz w:val="24"/>
        </w:rPr>
        <w:t>违约金在双方结算最后一阶段</w:t>
      </w:r>
      <w:r>
        <w:rPr>
          <w:rFonts w:hint="eastAsia" w:hAnsi="宋体"/>
          <w:bCs/>
          <w:sz w:val="24"/>
          <w:szCs w:val="28"/>
        </w:rPr>
        <w:t>规划编制</w:t>
      </w:r>
      <w:r>
        <w:rPr>
          <w:rFonts w:hint="eastAsia" w:ascii="宋体" w:hAnsi="宋体"/>
          <w:sz w:val="24"/>
        </w:rPr>
        <w:t>费的同时进行结算并支付。</w:t>
      </w:r>
    </w:p>
    <w:p>
      <w:pPr>
        <w:spacing w:beforeLines="50" w:line="460" w:lineRule="exact"/>
        <w:ind w:firstLine="482" w:firstLineChars="200"/>
        <w:rPr>
          <w:rFonts w:hint="eastAsia" w:ascii="宋体" w:hAnsi="宋体" w:cs="宋体"/>
          <w:b/>
          <w:sz w:val="24"/>
        </w:rPr>
      </w:pPr>
      <w:bookmarkStart w:id="12" w:name="_Toc351203607"/>
      <w:bookmarkStart w:id="13" w:name="_Toc337558823"/>
      <w:bookmarkStart w:id="14" w:name="_Toc296346617"/>
      <w:bookmarkStart w:id="15" w:name="_Toc296503116"/>
      <w:r>
        <w:rPr>
          <w:rFonts w:hint="eastAsia" w:ascii="宋体" w:hAnsi="宋体" w:cs="宋体"/>
          <w:b/>
          <w:sz w:val="24"/>
        </w:rPr>
        <w:t>第十条  不可抗力</w:t>
      </w:r>
      <w:bookmarkEnd w:id="12"/>
      <w:r>
        <w:rPr>
          <w:rFonts w:hint="eastAsia" w:ascii="宋体" w:hAnsi="宋体" w:cs="宋体"/>
          <w:b/>
          <w:sz w:val="24"/>
        </w:rPr>
        <w:t xml:space="preserve"> </w:t>
      </w:r>
      <w:bookmarkEnd w:id="13"/>
      <w:bookmarkEnd w:id="14"/>
      <w:bookmarkEnd w:id="15"/>
    </w:p>
    <w:p>
      <w:pPr>
        <w:autoSpaceDE w:val="0"/>
        <w:autoSpaceDN w:val="0"/>
        <w:adjustRightInd w:val="0"/>
        <w:spacing w:line="440" w:lineRule="exact"/>
        <w:ind w:firstLine="482" w:firstLineChars="200"/>
        <w:jc w:val="left"/>
        <w:rPr>
          <w:rFonts w:hint="eastAsia" w:ascii="宋体" w:hAnsi="宋体" w:cs="宋体"/>
          <w:kern w:val="0"/>
          <w:sz w:val="24"/>
        </w:rPr>
      </w:pPr>
      <w:r>
        <w:rPr>
          <w:rFonts w:hint="eastAsia" w:ascii="宋体" w:hAnsi="宋体" w:cs="宋体"/>
          <w:b/>
          <w:bCs/>
          <w:sz w:val="24"/>
        </w:rPr>
        <w:t>10.1</w:t>
      </w:r>
      <w:r>
        <w:rPr>
          <w:rFonts w:hint="eastAsia" w:ascii="宋体" w:hAnsi="宋体" w:cs="宋体"/>
          <w:kern w:val="0"/>
          <w:sz w:val="24"/>
        </w:rPr>
        <w:t xml:space="preserve"> 在合同履行过程中如遇不可抗力因素发生，遭遇不可抗力的一方应收集证明不可抗力发生及造成损失的证据，认真统计造成的损失，及时向对方提交中间报告，说明不可抗力和履行合同受阻的情况，并于不可抗力事件结束后28天内提交最终报告及有关资料。</w:t>
      </w:r>
    </w:p>
    <w:p>
      <w:pPr>
        <w:autoSpaceDE w:val="0"/>
        <w:autoSpaceDN w:val="0"/>
        <w:adjustRightInd w:val="0"/>
        <w:spacing w:line="440" w:lineRule="exact"/>
        <w:ind w:firstLine="482" w:firstLineChars="200"/>
        <w:jc w:val="left"/>
        <w:rPr>
          <w:rFonts w:hint="eastAsia" w:ascii="宋体" w:hAnsi="宋体" w:cs="宋体"/>
          <w:kern w:val="0"/>
          <w:sz w:val="24"/>
        </w:rPr>
      </w:pPr>
      <w:r>
        <w:rPr>
          <w:rFonts w:hint="eastAsia" w:ascii="宋体" w:hAnsi="宋体" w:cs="宋体"/>
          <w:b/>
          <w:bCs/>
          <w:sz w:val="24"/>
        </w:rPr>
        <w:t>10.2</w:t>
      </w:r>
      <w:r>
        <w:rPr>
          <w:rFonts w:hint="eastAsia" w:ascii="宋体" w:hAnsi="宋体" w:cs="宋体"/>
          <w:kern w:val="0"/>
          <w:sz w:val="24"/>
        </w:rPr>
        <w:t xml:space="preserve"> 不可抗力引起的后果及造成的损失由合同当事人按照法律规定及合同约定各自承担。不可抗力发生前已完成的规划编制应当按照合同约定进行支付。</w:t>
      </w:r>
    </w:p>
    <w:p>
      <w:pPr>
        <w:autoSpaceDE w:val="0"/>
        <w:autoSpaceDN w:val="0"/>
        <w:adjustRightInd w:val="0"/>
        <w:spacing w:line="440" w:lineRule="exact"/>
        <w:ind w:firstLine="482" w:firstLineChars="200"/>
        <w:jc w:val="left"/>
        <w:rPr>
          <w:rFonts w:hint="eastAsia" w:ascii="宋体" w:hAnsi="宋体" w:cs="宋体"/>
          <w:kern w:val="0"/>
          <w:sz w:val="24"/>
        </w:rPr>
      </w:pPr>
      <w:r>
        <w:rPr>
          <w:rFonts w:hint="eastAsia" w:ascii="宋体" w:hAnsi="宋体" w:cs="宋体"/>
          <w:b/>
          <w:bCs/>
          <w:sz w:val="24"/>
        </w:rPr>
        <w:t xml:space="preserve">10.3 </w:t>
      </w:r>
      <w:r>
        <w:rPr>
          <w:rFonts w:hint="eastAsia" w:ascii="宋体" w:hAnsi="宋体" w:cs="宋体"/>
          <w:kern w:val="0"/>
          <w:sz w:val="24"/>
        </w:rPr>
        <w:t>合同一方因迟延履行合同义务，在迟延履行期间遭遇不可抗力的，不免除其违约责任。</w:t>
      </w:r>
    </w:p>
    <w:p>
      <w:pPr>
        <w:autoSpaceDE w:val="0"/>
        <w:autoSpaceDN w:val="0"/>
        <w:adjustRightInd w:val="0"/>
        <w:spacing w:line="440" w:lineRule="exact"/>
        <w:ind w:firstLine="482" w:firstLineChars="200"/>
        <w:jc w:val="left"/>
        <w:rPr>
          <w:rFonts w:hint="eastAsia" w:ascii="宋体" w:hAnsi="宋体"/>
          <w:sz w:val="24"/>
        </w:rPr>
      </w:pPr>
      <w:r>
        <w:rPr>
          <w:rFonts w:hint="eastAsia" w:ascii="宋体" w:hAnsi="宋体" w:cs="宋体"/>
          <w:b/>
          <w:bCs/>
          <w:sz w:val="24"/>
        </w:rPr>
        <w:t>10.4</w:t>
      </w:r>
      <w:r>
        <w:rPr>
          <w:rFonts w:hint="eastAsia" w:ascii="宋体" w:hAnsi="宋体" w:cs="宋体"/>
          <w:kern w:val="0"/>
          <w:sz w:val="24"/>
        </w:rPr>
        <w:t xml:space="preserve"> 不可抗力发生后，合同当事人均应采取措施尽量避免和减少损失的扩大，任何一方当事人没有采取有效措施导致损失扩大的，应对扩大的损失承担责任。</w:t>
      </w:r>
    </w:p>
    <w:p>
      <w:pPr>
        <w:pStyle w:val="10"/>
        <w:spacing w:beforeLines="50"/>
        <w:ind w:firstLine="480"/>
        <w:outlineLvl w:val="0"/>
        <w:rPr>
          <w:rFonts w:hint="eastAsia"/>
          <w:b/>
          <w:bCs/>
          <w:sz w:val="24"/>
          <w:szCs w:val="28"/>
        </w:rPr>
      </w:pPr>
      <w:r>
        <w:rPr>
          <w:rFonts w:hint="eastAsia"/>
          <w:b/>
          <w:bCs/>
          <w:sz w:val="24"/>
        </w:rPr>
        <w:t>第十一条</w:t>
      </w:r>
      <w:r>
        <w:rPr>
          <w:rFonts w:hint="eastAsia"/>
          <w:b/>
          <w:sz w:val="24"/>
          <w:szCs w:val="28"/>
        </w:rPr>
        <w:t xml:space="preserve">  </w:t>
      </w:r>
      <w:r>
        <w:rPr>
          <w:rFonts w:hint="eastAsia"/>
          <w:b/>
          <w:bCs/>
          <w:sz w:val="24"/>
          <w:szCs w:val="28"/>
        </w:rPr>
        <w:t>合同</w:t>
      </w:r>
      <w:r>
        <w:rPr>
          <w:rFonts w:hint="eastAsia"/>
          <w:b/>
          <w:bCs/>
          <w:sz w:val="24"/>
          <w:szCs w:val="28"/>
          <w:lang w:val="en-US" w:eastAsia="zh-CN"/>
        </w:rPr>
        <w:t>变更和</w:t>
      </w:r>
      <w:r>
        <w:rPr>
          <w:rFonts w:hint="eastAsia"/>
          <w:b/>
          <w:bCs/>
          <w:sz w:val="24"/>
          <w:szCs w:val="28"/>
        </w:rPr>
        <w:t>解除</w:t>
      </w:r>
    </w:p>
    <w:p>
      <w:pPr>
        <w:pStyle w:val="10"/>
        <w:spacing w:beforeLines="50"/>
        <w:ind w:firstLine="480"/>
        <w:outlineLvl w:val="0"/>
        <w:rPr>
          <w:rFonts w:hint="eastAsia" w:ascii="宋体" w:hAnsi="宋体" w:eastAsia="宋体" w:cs="宋体"/>
          <w:color w:val="auto"/>
          <w:kern w:val="0"/>
          <w:sz w:val="24"/>
          <w:szCs w:val="22"/>
          <w:lang w:val="en-US" w:eastAsia="zh-CN" w:bidi="zh-CN"/>
        </w:rPr>
      </w:pPr>
      <w:r>
        <w:rPr>
          <w:rFonts w:hint="eastAsia" w:ascii="宋体" w:hAnsi="宋体" w:cs="宋体"/>
          <w:b/>
          <w:bCs/>
          <w:sz w:val="24"/>
        </w:rPr>
        <w:t>1</w:t>
      </w:r>
      <w:r>
        <w:rPr>
          <w:rFonts w:hint="eastAsia" w:cs="宋体"/>
          <w:b/>
          <w:bCs/>
          <w:sz w:val="24"/>
          <w:lang w:val="en-US" w:eastAsia="zh-CN"/>
        </w:rPr>
        <w:t>1</w:t>
      </w:r>
      <w:r>
        <w:rPr>
          <w:rFonts w:hint="eastAsia" w:ascii="宋体" w:hAnsi="宋体" w:cs="宋体"/>
          <w:b/>
          <w:bCs/>
          <w:sz w:val="24"/>
        </w:rPr>
        <w:t>.</w:t>
      </w:r>
      <w:r>
        <w:rPr>
          <w:rFonts w:hint="eastAsia" w:cs="宋体"/>
          <w:b/>
          <w:bCs/>
          <w:sz w:val="24"/>
          <w:lang w:val="en-US" w:eastAsia="zh-CN"/>
        </w:rPr>
        <w:t xml:space="preserve">1 </w:t>
      </w:r>
      <w:r>
        <w:rPr>
          <w:rFonts w:hint="eastAsia" w:ascii="宋体" w:hAnsi="宋体" w:eastAsia="宋体" w:cs="宋体"/>
          <w:color w:val="auto"/>
          <w:kern w:val="0"/>
          <w:sz w:val="24"/>
          <w:szCs w:val="22"/>
          <w:lang w:val="en-US" w:eastAsia="zh-CN" w:bidi="zh-CN"/>
        </w:rPr>
        <w:t>本合同条款由甲乙双方在平等自愿的基础上通过协商并达成一致意见后形成，未经双方书面认可，任何一方不得对本合同的条款做出修改或者补充。</w:t>
      </w:r>
    </w:p>
    <w:p>
      <w:pPr>
        <w:pStyle w:val="10"/>
        <w:spacing w:beforeLines="50"/>
        <w:ind w:firstLine="480"/>
        <w:outlineLvl w:val="0"/>
        <w:rPr>
          <w:rFonts w:hint="eastAsia" w:ascii="宋体" w:hAnsi="宋体" w:eastAsia="宋体" w:cs="宋体"/>
          <w:color w:val="auto"/>
          <w:kern w:val="0"/>
          <w:sz w:val="24"/>
          <w:szCs w:val="22"/>
          <w:lang w:val="en-US" w:eastAsia="zh-CN" w:bidi="zh-CN"/>
        </w:rPr>
      </w:pPr>
      <w:r>
        <w:rPr>
          <w:rFonts w:hint="eastAsia" w:ascii="宋体" w:hAnsi="宋体" w:cs="宋体"/>
          <w:b/>
          <w:bCs/>
          <w:sz w:val="24"/>
        </w:rPr>
        <w:t>1</w:t>
      </w:r>
      <w:r>
        <w:rPr>
          <w:rFonts w:hint="eastAsia" w:cs="宋体"/>
          <w:b/>
          <w:bCs/>
          <w:sz w:val="24"/>
          <w:lang w:val="en-US" w:eastAsia="zh-CN"/>
        </w:rPr>
        <w:t>1</w:t>
      </w:r>
      <w:r>
        <w:rPr>
          <w:rFonts w:hint="eastAsia" w:ascii="宋体" w:hAnsi="宋体" w:cs="宋体"/>
          <w:b/>
          <w:bCs/>
          <w:sz w:val="24"/>
        </w:rPr>
        <w:t>.</w:t>
      </w:r>
      <w:r>
        <w:rPr>
          <w:rFonts w:hint="eastAsia" w:cs="宋体"/>
          <w:b/>
          <w:bCs/>
          <w:sz w:val="24"/>
          <w:lang w:val="en-US" w:eastAsia="zh-CN"/>
        </w:rPr>
        <w:t xml:space="preserve">2 </w:t>
      </w:r>
      <w:r>
        <w:rPr>
          <w:rFonts w:hint="eastAsia" w:ascii="宋体" w:hAnsi="宋体" w:eastAsia="宋体" w:cs="宋体"/>
          <w:color w:val="auto"/>
          <w:kern w:val="0"/>
          <w:sz w:val="24"/>
          <w:szCs w:val="22"/>
          <w:lang w:val="en-US" w:eastAsia="zh-CN" w:bidi="zh-CN"/>
        </w:rPr>
        <w:t>如因第三方原因，造成合同不可避免的修改，应取得甲乙双方书面共同确认，并签署补充合同。</w:t>
      </w:r>
    </w:p>
    <w:p>
      <w:pPr>
        <w:pStyle w:val="10"/>
        <w:spacing w:beforeLines="50"/>
        <w:ind w:firstLine="480"/>
        <w:outlineLvl w:val="0"/>
        <w:rPr>
          <w:rFonts w:hint="default" w:ascii="宋体" w:hAnsi="宋体" w:eastAsia="宋体" w:cs="宋体"/>
          <w:color w:val="auto"/>
          <w:kern w:val="0"/>
          <w:sz w:val="24"/>
          <w:szCs w:val="22"/>
          <w:lang w:val="en-US" w:eastAsia="zh-CN" w:bidi="zh-CN"/>
        </w:rPr>
      </w:pPr>
      <w:r>
        <w:rPr>
          <w:rFonts w:hint="eastAsia" w:ascii="宋体" w:hAnsi="宋体" w:cs="宋体"/>
          <w:b/>
          <w:bCs/>
          <w:sz w:val="24"/>
        </w:rPr>
        <w:t>1</w:t>
      </w:r>
      <w:r>
        <w:rPr>
          <w:rFonts w:hint="eastAsia" w:cs="宋体"/>
          <w:b/>
          <w:bCs/>
          <w:sz w:val="24"/>
          <w:lang w:val="en-US" w:eastAsia="zh-CN"/>
        </w:rPr>
        <w:t>1</w:t>
      </w:r>
      <w:r>
        <w:rPr>
          <w:rFonts w:hint="eastAsia" w:ascii="宋体" w:hAnsi="宋体" w:cs="宋体"/>
          <w:b/>
          <w:bCs/>
          <w:sz w:val="24"/>
        </w:rPr>
        <w:t>.</w:t>
      </w:r>
      <w:r>
        <w:rPr>
          <w:rFonts w:hint="eastAsia" w:cs="宋体"/>
          <w:b/>
          <w:bCs/>
          <w:sz w:val="24"/>
          <w:lang w:val="en-US" w:eastAsia="zh-CN"/>
        </w:rPr>
        <w:t xml:space="preserve">3 </w:t>
      </w:r>
      <w:r>
        <w:rPr>
          <w:rFonts w:hint="eastAsia" w:ascii="宋体" w:hAnsi="宋体" w:eastAsia="宋体" w:cs="宋体"/>
          <w:color w:val="auto"/>
          <w:kern w:val="0"/>
          <w:sz w:val="24"/>
          <w:szCs w:val="22"/>
          <w:lang w:val="en-US" w:eastAsia="zh-CN" w:bidi="zh-CN"/>
        </w:rPr>
        <w:t xml:space="preserve">如因上级政府或政策等原因导致本合同约定项目被取消的，甲方有权提前解除合同，并以书面形式通知乙方。甲方未支付的经费不在支付，乙方已收取的经费按实际工作量结算。 </w:t>
      </w:r>
    </w:p>
    <w:p>
      <w:pPr>
        <w:spacing w:beforeLines="50" w:line="460" w:lineRule="exact"/>
        <w:ind w:firstLine="482" w:firstLineChars="200"/>
        <w:rPr>
          <w:rFonts w:hint="eastAsia" w:ascii="宋体" w:hAnsi="宋体"/>
          <w:b/>
          <w:bCs/>
          <w:sz w:val="24"/>
        </w:rPr>
      </w:pPr>
      <w:r>
        <w:rPr>
          <w:rFonts w:hint="eastAsia" w:ascii="宋体" w:hAnsi="宋体"/>
          <w:b/>
          <w:bCs/>
          <w:sz w:val="24"/>
        </w:rPr>
        <w:t>第十二条  争议的解决</w:t>
      </w:r>
    </w:p>
    <w:p>
      <w:pPr>
        <w:spacing w:beforeLines="50" w:line="460" w:lineRule="exact"/>
        <w:rPr>
          <w:rFonts w:hint="eastAsia" w:ascii="宋体" w:hAnsi="宋体"/>
          <w:sz w:val="24"/>
        </w:rPr>
      </w:pPr>
      <w:r>
        <w:rPr>
          <w:rFonts w:hint="eastAsia" w:ascii="宋体" w:hAnsi="宋体"/>
          <w:sz w:val="24"/>
        </w:rPr>
        <w:t xml:space="preserve">    </w:t>
      </w:r>
      <w:r>
        <w:rPr>
          <w:rFonts w:hint="eastAsia" w:ascii="宋体" w:hAnsi="宋体"/>
          <w:b/>
          <w:bCs/>
          <w:sz w:val="24"/>
        </w:rPr>
        <w:t>12.1</w:t>
      </w:r>
      <w:r>
        <w:rPr>
          <w:rFonts w:hint="eastAsia" w:ascii="宋体" w:hAnsi="宋体"/>
          <w:sz w:val="24"/>
        </w:rPr>
        <w:t xml:space="preserve"> 合同各方因履行本合同而发生的争议，应协商、调解解决。协商、调解不成的，同意</w:t>
      </w:r>
      <w:r>
        <w:rPr>
          <w:rFonts w:hint="eastAsia" w:ascii="宋体"/>
          <w:sz w:val="24"/>
        </w:rPr>
        <w:t>向</w:t>
      </w:r>
      <w:r>
        <w:rPr>
          <w:rFonts w:hint="eastAsia" w:ascii="宋体"/>
          <w:sz w:val="24"/>
          <w:u w:val="single"/>
        </w:rPr>
        <w:t xml:space="preserve"> 甲方</w:t>
      </w:r>
      <w:r>
        <w:rPr>
          <w:rFonts w:ascii="宋体"/>
          <w:sz w:val="24"/>
          <w:u w:val="single"/>
        </w:rPr>
        <w:t>所在地</w:t>
      </w:r>
      <w:r>
        <w:rPr>
          <w:rFonts w:hint="eastAsia" w:ascii="宋体"/>
          <w:sz w:val="24"/>
          <w:u w:val="single"/>
        </w:rPr>
        <w:t xml:space="preserve"> </w:t>
      </w:r>
      <w:r>
        <w:rPr>
          <w:rFonts w:hint="eastAsia" w:ascii="宋体" w:hAnsi="宋体"/>
          <w:sz w:val="24"/>
        </w:rPr>
        <w:t>人民法院提起诉讼。</w:t>
      </w:r>
    </w:p>
    <w:p>
      <w:pPr>
        <w:autoSpaceDE w:val="0"/>
        <w:autoSpaceDN w:val="0"/>
        <w:adjustRightInd w:val="0"/>
        <w:spacing w:line="460" w:lineRule="exact"/>
        <w:ind w:firstLine="482" w:firstLineChars="200"/>
        <w:jc w:val="left"/>
        <w:rPr>
          <w:rFonts w:ascii="宋体" w:hAnsi="宋体" w:cs="宋体"/>
          <w:bCs/>
          <w:sz w:val="24"/>
        </w:rPr>
      </w:pPr>
      <w:r>
        <w:rPr>
          <w:rFonts w:hint="eastAsia" w:ascii="宋体" w:hAnsi="宋体" w:cs="宋体"/>
          <w:b/>
          <w:sz w:val="24"/>
        </w:rPr>
        <w:t>12.2</w:t>
      </w:r>
      <w:r>
        <w:rPr>
          <w:rFonts w:hint="eastAsia" w:ascii="宋体" w:hAnsi="宋体" w:cs="宋体"/>
          <w:kern w:val="0"/>
          <w:sz w:val="24"/>
        </w:rPr>
        <w:t xml:space="preserve"> 合同有关争议解决的条款独立存在，合同的变更、解除、终止、无效或者被撤销均不影响其效力。</w:t>
      </w:r>
      <w:r>
        <w:rPr>
          <w:rFonts w:hint="eastAsia" w:ascii="宋体" w:hAnsi="宋体" w:cs="宋体"/>
          <w:kern w:val="0"/>
          <w:sz w:val="30"/>
          <w:szCs w:val="32"/>
        </w:rPr>
        <w:t xml:space="preserve"> </w:t>
      </w:r>
    </w:p>
    <w:p>
      <w:pPr>
        <w:spacing w:beforeLines="50" w:line="460" w:lineRule="exact"/>
        <w:ind w:firstLine="241" w:firstLineChars="100"/>
        <w:rPr>
          <w:rFonts w:hint="eastAsia" w:ascii="仿宋_GB2312"/>
          <w:b/>
          <w:bCs/>
          <w:sz w:val="24"/>
        </w:rPr>
      </w:pPr>
      <w:r>
        <w:rPr>
          <w:rFonts w:hint="eastAsia" w:ascii="仿宋_GB2312"/>
          <w:b/>
          <w:bCs/>
          <w:sz w:val="24"/>
        </w:rPr>
        <w:t xml:space="preserve"> 第十三条  其他</w:t>
      </w:r>
    </w:p>
    <w:p>
      <w:pPr>
        <w:spacing w:beforeLines="50" w:line="460" w:lineRule="exact"/>
        <w:rPr>
          <w:rFonts w:hint="eastAsia" w:ascii="仿宋_GB2312"/>
          <w:sz w:val="24"/>
        </w:rPr>
      </w:pPr>
      <w:r>
        <w:rPr>
          <w:rFonts w:hint="eastAsia" w:ascii="宋体" w:hAnsi="宋体"/>
          <w:sz w:val="24"/>
        </w:rPr>
        <w:t xml:space="preserve">    </w:t>
      </w:r>
      <w:r>
        <w:rPr>
          <w:rFonts w:hint="eastAsia" w:ascii="宋体" w:hAnsi="宋体"/>
          <w:b/>
          <w:bCs/>
          <w:sz w:val="24"/>
        </w:rPr>
        <w:t xml:space="preserve">13.1 </w:t>
      </w:r>
      <w:r>
        <w:rPr>
          <w:rFonts w:hint="eastAsia" w:ascii="宋体" w:hAnsi="宋体" w:cs="宋体"/>
          <w:bCs/>
          <w:sz w:val="24"/>
        </w:rPr>
        <w:t>合同未尽事宜，</w:t>
      </w:r>
      <w:r>
        <w:rPr>
          <w:rFonts w:hint="eastAsia" w:ascii="宋体" w:hAnsi="宋体" w:cs="宋体"/>
          <w:sz w:val="24"/>
        </w:rPr>
        <w:t>甲方和乙方就本合同文件</w:t>
      </w:r>
      <w:r>
        <w:rPr>
          <w:rFonts w:hint="eastAsia" w:ascii="宋体" w:hAnsi="宋体" w:cs="宋体"/>
          <w:bCs/>
          <w:sz w:val="24"/>
        </w:rPr>
        <w:t>另行签订补充协议，</w:t>
      </w:r>
      <w:r>
        <w:rPr>
          <w:rFonts w:hint="eastAsia" w:ascii="宋体" w:hAnsi="宋体" w:cs="宋体"/>
          <w:sz w:val="24"/>
        </w:rPr>
        <w:t>所作出的补充和修改，属于同一类内容的文件，以最新签署的为准。</w:t>
      </w:r>
      <w:r>
        <w:rPr>
          <w:rFonts w:hint="eastAsia" w:ascii="宋体" w:hAnsi="宋体" w:cs="宋体"/>
          <w:bCs/>
          <w:sz w:val="24"/>
        </w:rPr>
        <w:t>补充协议是合同的组成部分。</w:t>
      </w:r>
    </w:p>
    <w:p>
      <w:pPr>
        <w:spacing w:beforeLines="50" w:line="460" w:lineRule="exact"/>
        <w:ind w:firstLine="482" w:firstLineChars="200"/>
        <w:rPr>
          <w:rFonts w:hint="eastAsia" w:ascii="宋体" w:hAnsi="宋体" w:cs="宋体"/>
          <w:b/>
          <w:sz w:val="24"/>
        </w:rPr>
      </w:pPr>
      <w:r>
        <w:rPr>
          <w:rFonts w:hint="eastAsia" w:ascii="宋体" w:hAnsi="宋体" w:cs="宋体"/>
          <w:b/>
          <w:sz w:val="24"/>
        </w:rPr>
        <w:t>第十四条  合同生效、终止</w:t>
      </w:r>
    </w:p>
    <w:p>
      <w:pPr>
        <w:spacing w:line="460" w:lineRule="exact"/>
        <w:ind w:firstLine="480" w:firstLineChars="200"/>
        <w:rPr>
          <w:rFonts w:hint="eastAsia" w:ascii="宋体" w:hAnsi="宋体" w:cs="宋体"/>
          <w:sz w:val="24"/>
        </w:rPr>
      </w:pPr>
      <w:r>
        <w:rPr>
          <w:rFonts w:hint="eastAsia" w:ascii="宋体" w:hAnsi="宋体" w:cs="宋体"/>
          <w:sz w:val="24"/>
        </w:rPr>
        <w:t>本合同自合同各方签章后生效，合同各方权责利条款履行完毕后自行终止。</w:t>
      </w:r>
    </w:p>
    <w:p>
      <w:pPr>
        <w:spacing w:beforeLines="50" w:line="460" w:lineRule="exact"/>
        <w:ind w:firstLine="482" w:firstLineChars="200"/>
        <w:rPr>
          <w:rFonts w:hint="eastAsia" w:ascii="宋体" w:hAnsi="宋体" w:cs="宋体"/>
          <w:b/>
          <w:sz w:val="24"/>
        </w:rPr>
      </w:pPr>
      <w:bookmarkStart w:id="16" w:name="_Toc351203493"/>
      <w:r>
        <w:rPr>
          <w:rFonts w:hint="eastAsia" w:ascii="宋体" w:hAnsi="宋体" w:cs="宋体"/>
          <w:b/>
          <w:sz w:val="24"/>
        </w:rPr>
        <w:t>第十五条  合同份数</w:t>
      </w:r>
      <w:bookmarkEnd w:id="16"/>
    </w:p>
    <w:p>
      <w:pPr>
        <w:snapToGrid w:val="0"/>
        <w:spacing w:line="360" w:lineRule="auto"/>
        <w:ind w:firstLine="480" w:firstLineChars="200"/>
        <w:rPr>
          <w:bCs/>
          <w:sz w:val="24"/>
        </w:rPr>
      </w:pPr>
      <w:r>
        <w:rPr>
          <w:bCs/>
          <w:sz w:val="24"/>
        </w:rPr>
        <w:t>本合同一式陆份，中文书写。甲方、乙方各执二份，</w:t>
      </w:r>
      <w:r>
        <w:rPr>
          <w:rFonts w:hint="eastAsia"/>
          <w:bCs/>
          <w:sz w:val="24"/>
        </w:rPr>
        <w:t>采购代理机构</w:t>
      </w:r>
      <w:r>
        <w:rPr>
          <w:bCs/>
          <w:sz w:val="24"/>
        </w:rPr>
        <w:t>留存一份，由</w:t>
      </w:r>
      <w:r>
        <w:rPr>
          <w:rFonts w:hint="eastAsia"/>
          <w:bCs/>
          <w:sz w:val="24"/>
        </w:rPr>
        <w:t>采购代理机构</w:t>
      </w:r>
      <w:r>
        <w:rPr>
          <w:bCs/>
          <w:sz w:val="24"/>
        </w:rPr>
        <w:t>报政府采购主管部门备案一份。</w:t>
      </w:r>
    </w:p>
    <w:p>
      <w:pPr>
        <w:widowControl/>
        <w:jc w:val="left"/>
        <w:rPr>
          <w:rFonts w:hint="eastAsia"/>
          <w:color w:val="FF0000"/>
          <w:sz w:val="24"/>
          <w:szCs w:val="28"/>
        </w:rPr>
      </w:pPr>
      <w:r>
        <w:rPr>
          <w:color w:val="FF0000"/>
          <w:sz w:val="24"/>
          <w:szCs w:val="28"/>
        </w:rPr>
        <w:br w:type="page"/>
      </w:r>
    </w:p>
    <w:p>
      <w:pPr>
        <w:pStyle w:val="10"/>
        <w:spacing w:line="600" w:lineRule="exact"/>
        <w:outlineLvl w:val="0"/>
        <w:rPr>
          <w:rFonts w:hint="eastAsia"/>
          <w:color w:val="auto"/>
          <w:sz w:val="24"/>
          <w:szCs w:val="28"/>
        </w:rPr>
      </w:pPr>
      <w:r>
        <w:rPr>
          <w:rFonts w:hint="eastAsia"/>
          <w:color w:val="auto"/>
          <w:sz w:val="24"/>
          <w:szCs w:val="28"/>
        </w:rPr>
        <w:t>（本页无正文，为规划编制合同签署页）</w:t>
      </w:r>
    </w:p>
    <w:p>
      <w:pPr>
        <w:pStyle w:val="10"/>
        <w:spacing w:line="600" w:lineRule="exact"/>
        <w:outlineLvl w:val="0"/>
        <w:rPr>
          <w:sz w:val="24"/>
        </w:rPr>
      </w:pPr>
      <w:r>
        <w:rPr>
          <w:rFonts w:hint="eastAsia"/>
          <w:sz w:val="24"/>
          <w:szCs w:val="28"/>
        </w:rPr>
        <w:t>项目名称：</w:t>
      </w:r>
      <w:r>
        <w:rPr>
          <w:rFonts w:hint="eastAsia"/>
          <w:sz w:val="24"/>
          <w:u w:val="single"/>
        </w:rPr>
        <w:t>海南省传统村落与历史文化街区保护与活化利用“十四五”专项规划</w:t>
      </w:r>
    </w:p>
    <w:p>
      <w:pPr>
        <w:pStyle w:val="10"/>
        <w:spacing w:line="600" w:lineRule="exact"/>
        <w:outlineLvl w:val="0"/>
        <w:rPr>
          <w:rFonts w:hint="eastAsia"/>
          <w:sz w:val="24"/>
          <w:szCs w:val="28"/>
        </w:rPr>
      </w:pPr>
      <w:r>
        <w:rPr>
          <w:rFonts w:hint="eastAsia"/>
          <w:sz w:val="24"/>
          <w:szCs w:val="28"/>
        </w:rPr>
        <w:t>项目地点： 海南省</w:t>
      </w:r>
    </w:p>
    <w:p>
      <w:pPr>
        <w:snapToGrid w:val="0"/>
        <w:spacing w:before="19" w:line="500" w:lineRule="exact"/>
        <w:rPr>
          <w:sz w:val="24"/>
        </w:rPr>
      </w:pPr>
      <w:r>
        <w:rPr>
          <w:b/>
          <w:sz w:val="24"/>
        </w:rPr>
        <w:t>甲方：</w:t>
      </w:r>
      <w:r>
        <w:rPr>
          <w:b/>
          <w:sz w:val="24"/>
          <w:u w:val="single"/>
        </w:rPr>
        <w:t xml:space="preserve">                   （盖章）</w:t>
      </w:r>
      <w:r>
        <w:rPr>
          <w:b/>
          <w:sz w:val="24"/>
        </w:rPr>
        <w:t xml:space="preserve">   </w:t>
      </w:r>
      <w:r>
        <w:rPr>
          <w:rFonts w:hint="eastAsia"/>
          <w:b/>
          <w:sz w:val="24"/>
        </w:rPr>
        <w:t xml:space="preserve">  </w:t>
      </w:r>
      <w:r>
        <w:rPr>
          <w:b/>
          <w:sz w:val="24"/>
        </w:rPr>
        <w:t xml:space="preserve">  乙方：</w:t>
      </w:r>
      <w:r>
        <w:rPr>
          <w:b/>
          <w:sz w:val="24"/>
          <w:u w:val="single"/>
        </w:rPr>
        <w:t xml:space="preserve">                  （盖章）</w:t>
      </w:r>
    </w:p>
    <w:p>
      <w:pPr>
        <w:snapToGrid w:val="0"/>
        <w:spacing w:before="19" w:line="500" w:lineRule="exact"/>
        <w:rPr>
          <w:b/>
          <w:sz w:val="24"/>
          <w:u w:val="single"/>
        </w:rPr>
      </w:pPr>
    </w:p>
    <w:p>
      <w:pPr>
        <w:snapToGrid w:val="0"/>
        <w:spacing w:before="19" w:line="500" w:lineRule="exact"/>
        <w:rPr>
          <w:sz w:val="24"/>
          <w:u w:val="single"/>
        </w:rPr>
      </w:pPr>
      <w:r>
        <w:rPr>
          <w:sz w:val="24"/>
        </w:rPr>
        <w:t xml:space="preserve">地址：      </w:t>
      </w:r>
      <w:r>
        <w:rPr>
          <w:rFonts w:hint="eastAsia"/>
          <w:sz w:val="24"/>
        </w:rPr>
        <w:t xml:space="preserve">                             </w:t>
      </w:r>
      <w:r>
        <w:rPr>
          <w:sz w:val="24"/>
        </w:rPr>
        <w:t>地址：</w:t>
      </w:r>
    </w:p>
    <w:p>
      <w:pPr>
        <w:snapToGrid w:val="0"/>
        <w:spacing w:before="19" w:line="500" w:lineRule="exact"/>
        <w:rPr>
          <w:sz w:val="24"/>
        </w:rPr>
      </w:pPr>
      <w:r>
        <w:rPr>
          <w:sz w:val="24"/>
        </w:rPr>
        <w:t xml:space="preserve">法定（或授权）代表人：  </w:t>
      </w:r>
      <w:r>
        <w:rPr>
          <w:rFonts w:hint="eastAsia"/>
          <w:sz w:val="24"/>
        </w:rPr>
        <w:t xml:space="preserve">           </w:t>
      </w:r>
      <w:r>
        <w:rPr>
          <w:sz w:val="24"/>
        </w:rPr>
        <w:t xml:space="preserve">  </w:t>
      </w:r>
      <w:r>
        <w:rPr>
          <w:rFonts w:hint="eastAsia"/>
          <w:sz w:val="24"/>
        </w:rPr>
        <w:t xml:space="preserve">   </w:t>
      </w:r>
      <w:r>
        <w:rPr>
          <w:sz w:val="24"/>
        </w:rPr>
        <w:t xml:space="preserve"> 法定（或授权）代表人：</w:t>
      </w:r>
    </w:p>
    <w:p>
      <w:pPr>
        <w:snapToGrid w:val="0"/>
        <w:spacing w:before="19" w:line="500" w:lineRule="exact"/>
        <w:rPr>
          <w:sz w:val="24"/>
        </w:rPr>
      </w:pPr>
      <w:r>
        <w:rPr>
          <w:rFonts w:hint="eastAsia"/>
          <w:sz w:val="24"/>
        </w:rPr>
        <w:t xml:space="preserve">   </w:t>
      </w:r>
      <w:r>
        <w:rPr>
          <w:sz w:val="24"/>
        </w:rPr>
        <w:t>年</w:t>
      </w:r>
      <w:r>
        <w:rPr>
          <w:rFonts w:hint="eastAsia"/>
          <w:sz w:val="24"/>
        </w:rPr>
        <w:t xml:space="preserve">   </w:t>
      </w:r>
      <w:r>
        <w:rPr>
          <w:sz w:val="24"/>
        </w:rPr>
        <w:t>月</w:t>
      </w:r>
      <w:r>
        <w:rPr>
          <w:rFonts w:hint="eastAsia"/>
          <w:sz w:val="24"/>
        </w:rPr>
        <w:t xml:space="preserve">   </w:t>
      </w:r>
      <w:r>
        <w:rPr>
          <w:sz w:val="24"/>
        </w:rPr>
        <w:t xml:space="preserve">日                 </w:t>
      </w:r>
      <w:r>
        <w:rPr>
          <w:rFonts w:hint="eastAsia"/>
          <w:sz w:val="24"/>
        </w:rPr>
        <w:t xml:space="preserve">            </w:t>
      </w:r>
      <w:r>
        <w:rPr>
          <w:sz w:val="24"/>
        </w:rPr>
        <w:t xml:space="preserve">  年</w:t>
      </w:r>
      <w:r>
        <w:rPr>
          <w:rFonts w:hint="eastAsia"/>
          <w:sz w:val="24"/>
        </w:rPr>
        <w:t xml:space="preserve">   </w:t>
      </w:r>
      <w:r>
        <w:rPr>
          <w:sz w:val="24"/>
        </w:rPr>
        <w:t>月</w:t>
      </w:r>
      <w:r>
        <w:rPr>
          <w:rFonts w:hint="eastAsia"/>
          <w:sz w:val="24"/>
        </w:rPr>
        <w:t xml:space="preserve">   </w:t>
      </w:r>
      <w:r>
        <w:rPr>
          <w:sz w:val="24"/>
        </w:rPr>
        <w:t>日</w:t>
      </w:r>
    </w:p>
    <w:p>
      <w:pPr>
        <w:pStyle w:val="10"/>
        <w:spacing w:line="600" w:lineRule="exact"/>
        <w:rPr>
          <w:sz w:val="24"/>
          <w:szCs w:val="28"/>
        </w:rPr>
      </w:pPr>
      <w:r>
        <w:rPr>
          <w:rFonts w:hint="eastAsia"/>
          <w:sz w:val="24"/>
          <w:szCs w:val="28"/>
        </w:rPr>
        <w:t>开户银行：                               开户银行：</w:t>
      </w:r>
    </w:p>
    <w:p>
      <w:pPr>
        <w:pStyle w:val="10"/>
        <w:spacing w:line="600" w:lineRule="exact"/>
        <w:rPr>
          <w:rFonts w:hint="eastAsia"/>
          <w:sz w:val="24"/>
          <w:szCs w:val="28"/>
        </w:rPr>
      </w:pPr>
      <w:r>
        <w:rPr>
          <w:rFonts w:hint="eastAsia"/>
          <w:sz w:val="24"/>
          <w:szCs w:val="28"/>
        </w:rPr>
        <w:t>银行帐号：                               银行帐号：</w:t>
      </w:r>
    </w:p>
    <w:p>
      <w:pPr>
        <w:pStyle w:val="10"/>
        <w:spacing w:line="600" w:lineRule="exact"/>
        <w:rPr>
          <w:sz w:val="24"/>
          <w:szCs w:val="28"/>
        </w:rPr>
      </w:pPr>
      <w:r>
        <w:rPr>
          <w:rFonts w:hint="eastAsia"/>
          <w:sz w:val="24"/>
          <w:szCs w:val="28"/>
        </w:rPr>
        <w:t xml:space="preserve">电    话：             </w:t>
      </w:r>
      <w:r>
        <w:rPr>
          <w:sz w:val="24"/>
          <w:szCs w:val="28"/>
        </w:rPr>
        <w:t xml:space="preserve">           </w:t>
      </w:r>
      <w:r>
        <w:rPr>
          <w:rFonts w:hint="eastAsia"/>
          <w:sz w:val="24"/>
          <w:szCs w:val="28"/>
        </w:rPr>
        <w:t xml:space="preserve">       </w:t>
      </w:r>
      <w:r>
        <w:rPr>
          <w:sz w:val="24"/>
          <w:szCs w:val="28"/>
        </w:rPr>
        <w:t xml:space="preserve"> </w:t>
      </w:r>
      <w:r>
        <w:rPr>
          <w:rFonts w:hint="eastAsia"/>
          <w:sz w:val="24"/>
          <w:szCs w:val="28"/>
        </w:rPr>
        <w:t xml:space="preserve">电    话：    </w:t>
      </w:r>
    </w:p>
    <w:p>
      <w:pPr>
        <w:snapToGrid w:val="0"/>
        <w:spacing w:before="19" w:line="500" w:lineRule="exact"/>
        <w:rPr>
          <w:b/>
          <w:sz w:val="24"/>
        </w:rPr>
      </w:pPr>
    </w:p>
    <w:p>
      <w:pPr>
        <w:snapToGrid w:val="0"/>
        <w:spacing w:before="19" w:line="500" w:lineRule="exact"/>
        <w:ind w:firstLine="472" w:firstLineChars="196"/>
        <w:rPr>
          <w:b/>
          <w:sz w:val="24"/>
        </w:rPr>
      </w:pPr>
      <w:r>
        <w:rPr>
          <w:rFonts w:hint="eastAsia"/>
          <w:b/>
          <w:sz w:val="24"/>
        </w:rPr>
        <w:t>采购代理机构</w:t>
      </w:r>
      <w:r>
        <w:rPr>
          <w:b/>
          <w:sz w:val="24"/>
        </w:rPr>
        <w:t>声明：本合同标的依法定程序采购，合同主要条款内容与</w:t>
      </w:r>
      <w:r>
        <w:rPr>
          <w:rFonts w:hint="eastAsia"/>
          <w:b/>
          <w:sz w:val="24"/>
        </w:rPr>
        <w:t>磋商</w:t>
      </w:r>
      <w:r>
        <w:rPr>
          <w:b/>
          <w:sz w:val="24"/>
        </w:rPr>
        <w:t>文件的内容一致。</w:t>
      </w:r>
    </w:p>
    <w:p>
      <w:pPr>
        <w:snapToGrid w:val="0"/>
        <w:spacing w:before="19" w:line="500" w:lineRule="exact"/>
        <w:rPr>
          <w:b/>
          <w:sz w:val="24"/>
          <w:u w:val="single"/>
        </w:rPr>
      </w:pPr>
      <w:r>
        <w:rPr>
          <w:rFonts w:hint="eastAsia"/>
          <w:b/>
          <w:sz w:val="24"/>
        </w:rPr>
        <w:t>采购代理机构</w:t>
      </w:r>
      <w:r>
        <w:rPr>
          <w:b/>
          <w:sz w:val="24"/>
        </w:rPr>
        <w:t>：</w:t>
      </w:r>
      <w:r>
        <w:rPr>
          <w:b/>
          <w:sz w:val="24"/>
          <w:u w:val="single"/>
        </w:rPr>
        <w:t xml:space="preserve">                     （盖章）</w:t>
      </w:r>
    </w:p>
    <w:p>
      <w:pPr>
        <w:snapToGrid w:val="0"/>
        <w:spacing w:before="19" w:line="500" w:lineRule="exact"/>
        <w:rPr>
          <w:sz w:val="24"/>
          <w:u w:val="single"/>
        </w:rPr>
      </w:pPr>
      <w:r>
        <w:rPr>
          <w:sz w:val="24"/>
        </w:rPr>
        <w:t>经办人：</w:t>
      </w:r>
    </w:p>
    <w:p>
      <w:pPr>
        <w:snapToGrid w:val="0"/>
        <w:spacing w:before="19" w:line="500" w:lineRule="exact"/>
        <w:rPr>
          <w:sz w:val="24"/>
        </w:rPr>
      </w:pPr>
    </w:p>
    <w:p>
      <w:pPr>
        <w:rPr>
          <w:sz w:val="24"/>
        </w:rPr>
      </w:pPr>
      <w:r>
        <w:rPr>
          <w:sz w:val="24"/>
        </w:rPr>
        <w:t>年月日</w:t>
      </w:r>
    </w:p>
    <w:p>
      <w:pPr>
        <w:snapToGrid w:val="0"/>
        <w:spacing w:before="19" w:line="500" w:lineRule="exact"/>
        <w:rPr>
          <w:rFonts w:hint="eastAsia"/>
          <w:b/>
          <w:sz w:val="24"/>
          <w:lang w:val="en-US" w:eastAsia="zh-CN"/>
        </w:rPr>
      </w:pPr>
      <w:r>
        <w:rPr>
          <w:rFonts w:hint="eastAsia"/>
          <w:b/>
          <w:sz w:val="24"/>
          <w:lang w:val="en-US" w:eastAsia="zh-CN"/>
        </w:rPr>
        <w:t>注：本合同仅供参考，最终以采购人和成交供应商协商确定的内容为准。</w:t>
      </w:r>
    </w:p>
    <w:p>
      <w:pPr>
        <w:rPr>
          <w:rFonts w:hint="eastAsia"/>
          <w:b/>
          <w:szCs w:val="21"/>
          <w:lang w:val="en-US" w:eastAsia="zh-CN"/>
        </w:rPr>
      </w:pPr>
    </w:p>
    <w:p>
      <w:pPr>
        <w:pStyle w:val="4"/>
        <w:rPr>
          <w:rFonts w:hint="default"/>
          <w:lang w:val="en-US" w:eastAsia="zh-CN"/>
        </w:rPr>
        <w:sectPr>
          <w:footerReference r:id="rId6" w:type="default"/>
          <w:footnotePr>
            <w:pos w:val="beneathText"/>
          </w:footnotePr>
          <w:pgSz w:w="11906" w:h="16838"/>
          <w:pgMar w:top="1440" w:right="1417" w:bottom="1440" w:left="1417" w:header="851" w:footer="992" w:gutter="0"/>
          <w:pgNumType w:fmt="decimal"/>
          <w:cols w:space="720" w:num="1"/>
          <w:docGrid w:type="lines" w:linePitch="312" w:charSpace="0"/>
        </w:sectPr>
      </w:pPr>
    </w:p>
    <w:p>
      <w:pPr>
        <w:pStyle w:val="2"/>
        <w:jc w:val="center"/>
        <w:rPr>
          <w:sz w:val="44"/>
          <w:szCs w:val="44"/>
        </w:rPr>
      </w:pPr>
      <w:bookmarkStart w:id="17" w:name="_Toc31615"/>
      <w:r>
        <w:rPr>
          <w:sz w:val="44"/>
          <w:szCs w:val="44"/>
        </w:rPr>
        <w:t>第</w:t>
      </w:r>
      <w:r>
        <w:rPr>
          <w:rFonts w:hint="eastAsia"/>
          <w:sz w:val="44"/>
          <w:szCs w:val="44"/>
          <w:lang w:val="en-US" w:eastAsia="zh-CN"/>
        </w:rPr>
        <w:t>五</w:t>
      </w:r>
      <w:r>
        <w:rPr>
          <w:sz w:val="44"/>
          <w:szCs w:val="44"/>
        </w:rPr>
        <w:t>章  响应文件格式</w:t>
      </w:r>
      <w:bookmarkEnd w:id="17"/>
    </w:p>
    <w:p>
      <w:pPr>
        <w:widowControl/>
        <w:spacing w:before="240" w:line="480" w:lineRule="auto"/>
        <w:ind w:firstLine="2108" w:firstLineChars="700"/>
        <w:jc w:val="left"/>
        <w:rPr>
          <w:b/>
          <w:bCs/>
          <w:sz w:val="30"/>
          <w:szCs w:val="30"/>
          <w:u w:val="single"/>
        </w:rPr>
      </w:pPr>
      <w:bookmarkStart w:id="18" w:name="_Toc212102882"/>
    </w:p>
    <w:p>
      <w:pPr>
        <w:widowControl/>
        <w:spacing w:before="240" w:line="480" w:lineRule="auto"/>
        <w:ind w:firstLine="2108" w:firstLineChars="700"/>
        <w:jc w:val="left"/>
        <w:rPr>
          <w:b/>
          <w:bCs/>
          <w:sz w:val="30"/>
          <w:szCs w:val="30"/>
          <w:u w:val="single"/>
        </w:rPr>
      </w:pPr>
    </w:p>
    <w:p>
      <w:pPr>
        <w:widowControl/>
        <w:spacing w:before="240" w:line="480" w:lineRule="auto"/>
        <w:ind w:firstLine="2108" w:firstLineChars="700"/>
        <w:jc w:val="left"/>
        <w:rPr>
          <w:rFonts w:hint="eastAsia" w:eastAsia="宋体"/>
          <w:sz w:val="30"/>
          <w:szCs w:val="30"/>
          <w:lang w:eastAsia="zh-CN"/>
        </w:rPr>
      </w:pPr>
      <w:r>
        <w:rPr>
          <w:b/>
          <w:bCs/>
          <w:sz w:val="30"/>
          <w:szCs w:val="30"/>
          <w:u w:val="single"/>
        </w:rPr>
        <w:t xml:space="preserve">                          </w:t>
      </w:r>
      <w:r>
        <w:rPr>
          <w:rFonts w:hint="eastAsia"/>
          <w:b/>
          <w:bCs/>
          <w:sz w:val="30"/>
          <w:szCs w:val="30"/>
          <w:u w:val="single"/>
          <w:lang w:eastAsia="zh-CN"/>
        </w:rPr>
        <w:t>（</w:t>
      </w:r>
      <w:r>
        <w:rPr>
          <w:rFonts w:hint="eastAsia"/>
          <w:b/>
          <w:bCs/>
          <w:sz w:val="30"/>
          <w:szCs w:val="30"/>
          <w:u w:val="single"/>
          <w:lang w:val="en-US" w:eastAsia="zh-CN"/>
        </w:rPr>
        <w:t>项目名称</w:t>
      </w:r>
      <w:r>
        <w:rPr>
          <w:rFonts w:hint="eastAsia"/>
          <w:b/>
          <w:bCs/>
          <w:sz w:val="30"/>
          <w:szCs w:val="30"/>
          <w:u w:val="single"/>
          <w:lang w:eastAsia="zh-CN"/>
        </w:rPr>
        <w:t>）</w:t>
      </w:r>
    </w:p>
    <w:p>
      <w:pPr>
        <w:spacing w:before="240" w:line="480" w:lineRule="auto"/>
        <w:rPr>
          <w:sz w:val="30"/>
          <w:szCs w:val="30"/>
        </w:rPr>
      </w:pPr>
    </w:p>
    <w:p>
      <w:pPr>
        <w:spacing w:before="240" w:line="480" w:lineRule="auto"/>
        <w:rPr>
          <w:sz w:val="30"/>
          <w:szCs w:val="30"/>
        </w:rPr>
      </w:pPr>
    </w:p>
    <w:p>
      <w:pPr>
        <w:spacing w:before="240" w:line="480" w:lineRule="auto"/>
        <w:jc w:val="center"/>
        <w:rPr>
          <w:b/>
          <w:sz w:val="52"/>
          <w:szCs w:val="52"/>
        </w:rPr>
      </w:pPr>
      <w:r>
        <w:rPr>
          <w:b/>
          <w:spacing w:val="120"/>
          <w:sz w:val="52"/>
          <w:szCs w:val="52"/>
        </w:rPr>
        <w:t>响应文件</w:t>
      </w:r>
    </w:p>
    <w:p>
      <w:pPr>
        <w:spacing w:before="240" w:line="480" w:lineRule="auto"/>
        <w:rPr>
          <w:b/>
          <w:sz w:val="28"/>
          <w:szCs w:val="28"/>
        </w:rPr>
      </w:pPr>
    </w:p>
    <w:p>
      <w:pPr>
        <w:spacing w:before="240" w:line="480" w:lineRule="auto"/>
        <w:rPr>
          <w:b/>
          <w:sz w:val="28"/>
          <w:szCs w:val="28"/>
        </w:rPr>
      </w:pPr>
    </w:p>
    <w:p>
      <w:pPr>
        <w:spacing w:before="240" w:line="480" w:lineRule="auto"/>
        <w:rPr>
          <w:b/>
          <w:sz w:val="28"/>
          <w:szCs w:val="28"/>
        </w:rPr>
      </w:pPr>
    </w:p>
    <w:p>
      <w:pPr>
        <w:spacing w:before="240" w:line="480" w:lineRule="auto"/>
        <w:rPr>
          <w:b/>
          <w:sz w:val="28"/>
          <w:szCs w:val="28"/>
        </w:rPr>
      </w:pPr>
    </w:p>
    <w:p>
      <w:pPr>
        <w:spacing w:before="240" w:line="480" w:lineRule="auto"/>
        <w:rPr>
          <w:b/>
          <w:sz w:val="28"/>
          <w:szCs w:val="28"/>
        </w:rPr>
      </w:pPr>
    </w:p>
    <w:p>
      <w:pPr>
        <w:spacing w:beforeLines="50" w:afterLines="50" w:line="480" w:lineRule="auto"/>
        <w:ind w:left="1669" w:leftChars="540" w:hanging="481" w:hangingChars="171"/>
        <w:rPr>
          <w:b/>
          <w:sz w:val="28"/>
          <w:szCs w:val="28"/>
          <w:u w:val="single"/>
        </w:rPr>
      </w:pPr>
      <w:r>
        <w:rPr>
          <w:b/>
          <w:sz w:val="28"/>
          <w:szCs w:val="28"/>
        </w:rPr>
        <w:t>供应商名称：</w:t>
      </w:r>
    </w:p>
    <w:p>
      <w:pPr>
        <w:spacing w:beforeLines="50" w:afterLines="50" w:line="480" w:lineRule="auto"/>
        <w:ind w:left="1669" w:leftChars="540" w:hanging="481" w:hangingChars="171"/>
        <w:rPr>
          <w:b/>
          <w:sz w:val="28"/>
          <w:szCs w:val="28"/>
        </w:rPr>
      </w:pPr>
      <w:r>
        <w:rPr>
          <w:b/>
          <w:sz w:val="28"/>
          <w:szCs w:val="28"/>
        </w:rPr>
        <w:t>法定代表人或其委托代理人</w:t>
      </w:r>
      <w:r>
        <w:rPr>
          <w:b/>
          <w:sz w:val="28"/>
          <w:szCs w:val="28"/>
          <w:u w:val="single"/>
        </w:rPr>
        <w:t xml:space="preserve">：          </w:t>
      </w:r>
      <w:r>
        <w:rPr>
          <w:b/>
          <w:sz w:val="28"/>
          <w:szCs w:val="28"/>
        </w:rPr>
        <w:t>（</w:t>
      </w:r>
      <w:r>
        <w:rPr>
          <w:b/>
          <w:iCs/>
          <w:sz w:val="28"/>
          <w:szCs w:val="28"/>
        </w:rPr>
        <w:t>签字或盖章</w:t>
      </w:r>
      <w:r>
        <w:rPr>
          <w:b/>
          <w:sz w:val="28"/>
          <w:szCs w:val="28"/>
        </w:rPr>
        <w:t>）</w:t>
      </w:r>
    </w:p>
    <w:p>
      <w:pPr>
        <w:spacing w:beforeLines="50" w:afterLines="50" w:line="480" w:lineRule="auto"/>
        <w:ind w:left="1408" w:leftChars="640"/>
        <w:rPr>
          <w:sz w:val="28"/>
          <w:szCs w:val="28"/>
        </w:rPr>
      </w:pPr>
      <w:r>
        <w:rPr>
          <w:b/>
          <w:sz w:val="28"/>
          <w:szCs w:val="28"/>
        </w:rPr>
        <w:t xml:space="preserve">           日期：      年   月  日</w:t>
      </w:r>
    </w:p>
    <w:p>
      <w:pPr>
        <w:spacing w:beforeLines="50" w:afterLines="50" w:line="480" w:lineRule="auto"/>
        <w:ind w:left="1408" w:leftChars="640" w:firstLine="2800" w:firstLineChars="1000"/>
        <w:rPr>
          <w:sz w:val="28"/>
          <w:szCs w:val="28"/>
        </w:rPr>
      </w:pPr>
    </w:p>
    <w:p>
      <w:pPr>
        <w:spacing w:beforeLines="50" w:afterLines="50" w:line="480" w:lineRule="auto"/>
        <w:ind w:left="1408" w:leftChars="640" w:firstLine="2800" w:firstLineChars="1000"/>
        <w:rPr>
          <w:b/>
          <w:sz w:val="28"/>
          <w:szCs w:val="28"/>
        </w:rPr>
      </w:pPr>
      <w:r>
        <w:rPr>
          <w:sz w:val="28"/>
          <w:szCs w:val="28"/>
        </w:rPr>
        <w:t>目  录</w:t>
      </w:r>
    </w:p>
    <w:p>
      <w:pPr>
        <w:pStyle w:val="21"/>
        <w:numPr>
          <w:ilvl w:val="0"/>
          <w:numId w:val="1"/>
        </w:numPr>
        <w:spacing w:before="240" w:line="360" w:lineRule="auto"/>
        <w:ind w:firstLineChars="0"/>
        <w:jc w:val="left"/>
        <w:rPr>
          <w:szCs w:val="21"/>
        </w:rPr>
      </w:pPr>
      <w:r>
        <w:rPr>
          <w:szCs w:val="21"/>
        </w:rPr>
        <w:t>磋商函</w:t>
      </w:r>
    </w:p>
    <w:p>
      <w:pPr>
        <w:pStyle w:val="21"/>
        <w:numPr>
          <w:ilvl w:val="0"/>
          <w:numId w:val="1"/>
        </w:numPr>
        <w:spacing w:before="240" w:line="360" w:lineRule="auto"/>
        <w:ind w:firstLineChars="0"/>
        <w:jc w:val="left"/>
        <w:rPr>
          <w:szCs w:val="21"/>
        </w:rPr>
      </w:pPr>
      <w:r>
        <w:rPr>
          <w:szCs w:val="21"/>
        </w:rPr>
        <w:t>开标一览表</w:t>
      </w:r>
    </w:p>
    <w:p>
      <w:pPr>
        <w:pStyle w:val="21"/>
        <w:numPr>
          <w:ilvl w:val="0"/>
          <w:numId w:val="1"/>
        </w:numPr>
        <w:spacing w:before="240" w:line="360" w:lineRule="auto"/>
        <w:ind w:firstLineChars="0"/>
        <w:jc w:val="left"/>
        <w:rPr>
          <w:szCs w:val="21"/>
        </w:rPr>
      </w:pPr>
      <w:r>
        <w:rPr>
          <w:szCs w:val="21"/>
        </w:rPr>
        <w:t>技术需求响应表</w:t>
      </w:r>
    </w:p>
    <w:p>
      <w:pPr>
        <w:spacing w:before="240" w:line="360" w:lineRule="auto"/>
        <w:jc w:val="left"/>
        <w:rPr>
          <w:szCs w:val="21"/>
        </w:rPr>
      </w:pPr>
      <w:r>
        <w:rPr>
          <w:rFonts w:hint="eastAsia"/>
          <w:szCs w:val="21"/>
          <w:lang w:val="en-US" w:eastAsia="zh-CN"/>
        </w:rPr>
        <w:t>4</w:t>
      </w:r>
      <w:r>
        <w:rPr>
          <w:szCs w:val="21"/>
        </w:rPr>
        <w:t>、法定代表人身份证明</w:t>
      </w:r>
    </w:p>
    <w:p>
      <w:pPr>
        <w:spacing w:before="240" w:line="360" w:lineRule="auto"/>
        <w:jc w:val="left"/>
        <w:rPr>
          <w:szCs w:val="21"/>
        </w:rPr>
      </w:pPr>
      <w:r>
        <w:rPr>
          <w:rFonts w:hint="eastAsia"/>
          <w:szCs w:val="21"/>
          <w:lang w:val="en-US" w:eastAsia="zh-CN"/>
        </w:rPr>
        <w:t>5</w:t>
      </w:r>
      <w:r>
        <w:rPr>
          <w:szCs w:val="21"/>
        </w:rPr>
        <w:t>、授权委托书</w:t>
      </w:r>
    </w:p>
    <w:p>
      <w:pPr>
        <w:spacing w:before="240" w:line="360" w:lineRule="auto"/>
        <w:jc w:val="left"/>
        <w:rPr>
          <w:szCs w:val="21"/>
        </w:rPr>
      </w:pPr>
      <w:r>
        <w:rPr>
          <w:rFonts w:hint="eastAsia"/>
          <w:szCs w:val="21"/>
          <w:lang w:val="en-US" w:eastAsia="zh-CN"/>
        </w:rPr>
        <w:t>6</w:t>
      </w:r>
      <w:r>
        <w:rPr>
          <w:szCs w:val="21"/>
        </w:rPr>
        <w:t>、供应商基本情况表</w:t>
      </w:r>
    </w:p>
    <w:p>
      <w:pPr>
        <w:spacing w:before="240" w:line="360" w:lineRule="auto"/>
        <w:jc w:val="left"/>
        <w:rPr>
          <w:szCs w:val="21"/>
        </w:rPr>
      </w:pPr>
      <w:r>
        <w:rPr>
          <w:rFonts w:hint="eastAsia"/>
          <w:szCs w:val="21"/>
          <w:lang w:val="en-US" w:eastAsia="zh-CN"/>
        </w:rPr>
        <w:t>7</w:t>
      </w:r>
      <w:r>
        <w:rPr>
          <w:szCs w:val="21"/>
        </w:rPr>
        <w:t>、</w:t>
      </w:r>
      <w:r>
        <w:rPr>
          <w:rFonts w:hint="eastAsia"/>
          <w:szCs w:val="21"/>
          <w:lang w:val="en-US" w:eastAsia="zh-CN"/>
        </w:rPr>
        <w:t>磋商保证金</w:t>
      </w:r>
    </w:p>
    <w:p>
      <w:pPr>
        <w:spacing w:before="240" w:line="360" w:lineRule="auto"/>
        <w:jc w:val="left"/>
        <w:rPr>
          <w:szCs w:val="21"/>
        </w:rPr>
      </w:pPr>
      <w:r>
        <w:rPr>
          <w:rFonts w:hint="eastAsia"/>
          <w:szCs w:val="21"/>
          <w:lang w:val="en-US" w:eastAsia="zh-CN"/>
        </w:rPr>
        <w:t>8</w:t>
      </w:r>
      <w:r>
        <w:rPr>
          <w:szCs w:val="21"/>
        </w:rPr>
        <w:t>、无重大违法记录的书面声明</w:t>
      </w:r>
    </w:p>
    <w:p>
      <w:pPr>
        <w:spacing w:before="240" w:line="360" w:lineRule="auto"/>
        <w:jc w:val="left"/>
      </w:pPr>
      <w:r>
        <w:rPr>
          <w:rFonts w:hint="eastAsia"/>
          <w:szCs w:val="21"/>
          <w:lang w:val="en-US" w:eastAsia="zh-CN"/>
        </w:rPr>
        <w:t>9</w:t>
      </w:r>
      <w:r>
        <w:rPr>
          <w:szCs w:val="21"/>
        </w:rPr>
        <w:t>、信用查询记录</w:t>
      </w:r>
    </w:p>
    <w:p>
      <w:pPr>
        <w:spacing w:before="240" w:line="360" w:lineRule="auto"/>
        <w:jc w:val="left"/>
        <w:rPr>
          <w:szCs w:val="21"/>
        </w:rPr>
      </w:pPr>
      <w:r>
        <w:rPr>
          <w:szCs w:val="21"/>
        </w:rPr>
        <w:t>1</w:t>
      </w:r>
      <w:r>
        <w:rPr>
          <w:rFonts w:hint="eastAsia"/>
          <w:szCs w:val="21"/>
          <w:lang w:val="en-US" w:eastAsia="zh-CN"/>
        </w:rPr>
        <w:t>0</w:t>
      </w:r>
      <w:r>
        <w:rPr>
          <w:szCs w:val="21"/>
        </w:rPr>
        <w:t>、反商业贿赂承诺书</w:t>
      </w:r>
    </w:p>
    <w:p>
      <w:pPr>
        <w:spacing w:before="240" w:line="360" w:lineRule="auto"/>
        <w:jc w:val="left"/>
        <w:rPr>
          <w:szCs w:val="21"/>
        </w:rPr>
      </w:pPr>
      <w:r>
        <w:rPr>
          <w:szCs w:val="21"/>
        </w:rPr>
        <w:t>1</w:t>
      </w:r>
      <w:r>
        <w:rPr>
          <w:rFonts w:hint="eastAsia"/>
          <w:szCs w:val="21"/>
          <w:lang w:val="en-US" w:eastAsia="zh-CN"/>
        </w:rPr>
        <w:t>1</w:t>
      </w:r>
      <w:r>
        <w:rPr>
          <w:szCs w:val="21"/>
        </w:rPr>
        <w:t>、诚信投标、诚信履约承诺书</w:t>
      </w:r>
    </w:p>
    <w:p>
      <w:pPr>
        <w:spacing w:before="240" w:line="360" w:lineRule="auto"/>
        <w:jc w:val="left"/>
        <w:rPr>
          <w:rFonts w:hint="default" w:eastAsia="宋体"/>
          <w:szCs w:val="21"/>
          <w:lang w:val="en-US" w:eastAsia="zh-CN"/>
        </w:rPr>
      </w:pPr>
      <w:r>
        <w:rPr>
          <w:szCs w:val="21"/>
        </w:rPr>
        <w:t>1</w:t>
      </w:r>
      <w:r>
        <w:rPr>
          <w:rFonts w:hint="eastAsia"/>
          <w:szCs w:val="21"/>
          <w:lang w:val="en-US" w:eastAsia="zh-CN"/>
        </w:rPr>
        <w:t>2</w:t>
      </w:r>
      <w:r>
        <w:rPr>
          <w:szCs w:val="21"/>
        </w:rPr>
        <w:t>、供应商认为需要提供的其它文件</w:t>
      </w:r>
    </w:p>
    <w:p>
      <w:pPr>
        <w:spacing w:before="240" w:line="360" w:lineRule="auto"/>
        <w:jc w:val="left"/>
        <w:rPr>
          <w:rFonts w:hint="default" w:eastAsia="宋体"/>
          <w:lang w:val="en-US" w:eastAsia="zh-CN"/>
        </w:rPr>
      </w:pPr>
      <w:r>
        <w:rPr>
          <w:szCs w:val="21"/>
        </w:rPr>
        <w:t>1</w:t>
      </w:r>
      <w:r>
        <w:rPr>
          <w:rFonts w:hint="eastAsia"/>
          <w:szCs w:val="21"/>
          <w:lang w:val="en-US" w:eastAsia="zh-CN"/>
        </w:rPr>
        <w:t>3</w:t>
      </w:r>
      <w:r>
        <w:rPr>
          <w:szCs w:val="21"/>
        </w:rPr>
        <w:t>、第二次报价（格式）</w:t>
      </w:r>
    </w:p>
    <w:p>
      <w:pPr>
        <w:spacing w:before="240" w:line="480" w:lineRule="auto"/>
        <w:jc w:val="left"/>
        <w:rPr>
          <w:rFonts w:hint="default" w:eastAsia="宋体"/>
          <w:szCs w:val="21"/>
          <w:lang w:val="en-US" w:eastAsia="zh-CN"/>
        </w:rPr>
      </w:pPr>
      <w:r>
        <w:rPr>
          <w:rFonts w:hint="eastAsia"/>
          <w:szCs w:val="21"/>
          <w:lang w:val="en-US" w:eastAsia="zh-CN"/>
        </w:rPr>
        <w:t>注、可根据需求和评分标准提供不拘泥于表格格式的详细方案。</w:t>
      </w:r>
    </w:p>
    <w:p>
      <w:pPr>
        <w:widowControl/>
        <w:jc w:val="left"/>
        <w:rPr>
          <w:szCs w:val="21"/>
        </w:rPr>
      </w:pPr>
      <w:r>
        <w:rPr>
          <w:szCs w:val="21"/>
        </w:rPr>
        <w:br w:type="page"/>
      </w:r>
    </w:p>
    <w:p>
      <w:pPr>
        <w:pStyle w:val="3"/>
        <w:ind w:left="0" w:leftChars="0" w:firstLine="0" w:firstLineChars="0"/>
        <w:jc w:val="both"/>
        <w:rPr>
          <w:rStyle w:val="22"/>
          <w:rFonts w:ascii="Times New Roman" w:hAnsi="Times New Roman" w:eastAsia="宋体"/>
          <w:b/>
          <w:bCs/>
          <w:sz w:val="28"/>
          <w:szCs w:val="28"/>
        </w:rPr>
      </w:pPr>
      <w:bookmarkStart w:id="19" w:name="_Toc30862"/>
      <w:bookmarkStart w:id="20" w:name="_Toc513642582"/>
      <w:r>
        <w:rPr>
          <w:rStyle w:val="22"/>
          <w:rFonts w:ascii="Times New Roman" w:hAnsi="Times New Roman" w:eastAsia="宋体"/>
          <w:b/>
          <w:bCs/>
          <w:sz w:val="28"/>
          <w:szCs w:val="28"/>
        </w:rPr>
        <w:t>1、磋商函</w:t>
      </w:r>
      <w:bookmarkEnd w:id="19"/>
      <w:bookmarkEnd w:id="20"/>
    </w:p>
    <w:p>
      <w:pPr>
        <w:pStyle w:val="8"/>
        <w:overflowPunct w:val="0"/>
        <w:spacing w:before="240" w:line="480" w:lineRule="auto"/>
        <w:ind w:left="465" w:firstLine="0"/>
        <w:rPr>
          <w:rFonts w:eastAsia="宋体"/>
          <w:b/>
          <w:sz w:val="24"/>
          <w:szCs w:val="24"/>
        </w:rPr>
      </w:pPr>
      <w:r>
        <w:rPr>
          <w:rFonts w:eastAsia="宋体"/>
          <w:sz w:val="24"/>
          <w:szCs w:val="24"/>
        </w:rPr>
        <w:t>致：（采购人名称）</w:t>
      </w:r>
    </w:p>
    <w:p>
      <w:pPr>
        <w:pStyle w:val="23"/>
        <w:spacing w:before="240" w:line="480" w:lineRule="auto"/>
        <w:ind w:firstLine="480" w:firstLineChars="200"/>
        <w:rPr>
          <w:rFonts w:ascii="Times New Roman" w:hAnsi="Times New Roman" w:eastAsia="宋体"/>
          <w:sz w:val="24"/>
          <w:szCs w:val="24"/>
        </w:rPr>
      </w:pPr>
      <w:r>
        <w:rPr>
          <w:rFonts w:ascii="Times New Roman" w:hAnsi="Times New Roman" w:eastAsia="宋体"/>
          <w:sz w:val="24"/>
          <w:szCs w:val="24"/>
        </w:rPr>
        <w:t>我方仔细阅读并全面研究了</w:t>
      </w:r>
      <w:r>
        <w:rPr>
          <w:rFonts w:ascii="Times New Roman" w:hAnsi="Times New Roman" w:eastAsia="宋体"/>
          <w:bCs/>
          <w:sz w:val="24"/>
          <w:szCs w:val="24"/>
          <w:u w:val="single"/>
        </w:rPr>
        <w:t>项目（项目编号：         ）</w:t>
      </w:r>
      <w:r>
        <w:rPr>
          <w:rFonts w:ascii="Times New Roman" w:hAnsi="Times New Roman" w:eastAsia="宋体"/>
          <w:sz w:val="24"/>
          <w:szCs w:val="24"/>
        </w:rPr>
        <w:t>磋商文件，决定响应磋商文件的邀请，参加本项目投标。</w:t>
      </w:r>
    </w:p>
    <w:p>
      <w:pPr>
        <w:keepNext w:val="0"/>
        <w:keepLines w:val="0"/>
        <w:pageBreakBefore w:val="0"/>
        <w:widowControl w:val="0"/>
        <w:kinsoku/>
        <w:wordWrap/>
        <w:overflowPunct/>
        <w:topLinePunct w:val="0"/>
        <w:autoSpaceDE w:val="0"/>
        <w:autoSpaceDN w:val="0"/>
        <w:bidi w:val="0"/>
        <w:adjustRightInd/>
        <w:snapToGrid/>
        <w:spacing w:before="240" w:line="360" w:lineRule="auto"/>
        <w:ind w:firstLine="480" w:firstLineChars="200"/>
        <w:textAlignment w:val="auto"/>
        <w:rPr>
          <w:sz w:val="24"/>
          <w:szCs w:val="24"/>
        </w:rPr>
      </w:pPr>
      <w:r>
        <w:rPr>
          <w:sz w:val="24"/>
          <w:szCs w:val="24"/>
        </w:rPr>
        <w:t>1、我方自愿按照磋商文件规定的各项要求向采购人提供所需承接主体的服务。</w:t>
      </w:r>
    </w:p>
    <w:p>
      <w:pPr>
        <w:pStyle w:val="23"/>
        <w:spacing w:before="240" w:line="480" w:lineRule="auto"/>
        <w:ind w:firstLine="480" w:firstLineChars="200"/>
        <w:rPr>
          <w:rFonts w:ascii="Times New Roman" w:hAnsi="Times New Roman" w:eastAsia="宋体"/>
          <w:sz w:val="24"/>
          <w:szCs w:val="24"/>
        </w:rPr>
      </w:pPr>
      <w:r>
        <w:rPr>
          <w:rFonts w:ascii="Times New Roman" w:hAnsi="Times New Roman" w:eastAsia="宋体"/>
          <w:sz w:val="24"/>
          <w:szCs w:val="24"/>
        </w:rPr>
        <w:t>2、我方充分理解并完全接受磋商文件的各项规定和要求，没有任何异议，不附加任何条件。</w:t>
      </w:r>
    </w:p>
    <w:p>
      <w:pPr>
        <w:pStyle w:val="23"/>
        <w:spacing w:before="240" w:line="480" w:lineRule="auto"/>
        <w:ind w:firstLine="480" w:firstLineChars="200"/>
        <w:rPr>
          <w:rFonts w:ascii="Times New Roman" w:hAnsi="Times New Roman" w:eastAsia="宋体"/>
          <w:sz w:val="24"/>
          <w:szCs w:val="24"/>
        </w:rPr>
      </w:pPr>
      <w:r>
        <w:rPr>
          <w:rFonts w:ascii="Times New Roman" w:hAnsi="Times New Roman" w:eastAsia="宋体"/>
          <w:sz w:val="24"/>
          <w:szCs w:val="24"/>
        </w:rPr>
        <w:t>3、如果我方被授予合同，我方将严格履行合同规定的责任和义务，保证按期、按质、按量完成合同义务。</w:t>
      </w:r>
    </w:p>
    <w:p>
      <w:pPr>
        <w:pStyle w:val="23"/>
        <w:spacing w:before="240" w:line="480" w:lineRule="auto"/>
        <w:ind w:firstLine="480" w:firstLineChars="200"/>
        <w:rPr>
          <w:rFonts w:ascii="Times New Roman" w:hAnsi="Times New Roman" w:eastAsia="宋体"/>
          <w:sz w:val="24"/>
          <w:szCs w:val="24"/>
        </w:rPr>
      </w:pPr>
      <w:r>
        <w:rPr>
          <w:rFonts w:ascii="Times New Roman" w:hAnsi="Times New Roman" w:eastAsia="宋体"/>
          <w:sz w:val="24"/>
          <w:szCs w:val="24"/>
        </w:rPr>
        <w:t>4、我方同意按照磋商文件的要求，交纳人民币（大写）（￥）（小写）的</w:t>
      </w:r>
      <w:r>
        <w:rPr>
          <w:rFonts w:hint="eastAsia" w:ascii="Times New Roman" w:hAnsi="Times New Roman" w:eastAsia="宋体"/>
          <w:sz w:val="24"/>
          <w:szCs w:val="24"/>
          <w:lang w:val="en-US" w:eastAsia="zh-CN"/>
        </w:rPr>
        <w:t>磋商保证金</w:t>
      </w:r>
      <w:r>
        <w:rPr>
          <w:rFonts w:ascii="Times New Roman" w:hAnsi="Times New Roman" w:eastAsia="宋体"/>
          <w:sz w:val="24"/>
          <w:szCs w:val="24"/>
        </w:rPr>
        <w:t>。并承诺如果发生下列情况，我方无权要求退还</w:t>
      </w:r>
      <w:r>
        <w:rPr>
          <w:rFonts w:hint="eastAsia" w:ascii="Times New Roman" w:hAnsi="Times New Roman" w:eastAsia="宋体"/>
          <w:sz w:val="24"/>
          <w:szCs w:val="24"/>
          <w:lang w:eastAsia="zh-CN"/>
        </w:rPr>
        <w:t>磋商保证金</w:t>
      </w:r>
      <w:r>
        <w:rPr>
          <w:rFonts w:ascii="Times New Roman" w:hAnsi="Times New Roman" w:eastAsia="宋体"/>
          <w:sz w:val="24"/>
          <w:szCs w:val="24"/>
        </w:rPr>
        <w:t>：</w:t>
      </w:r>
    </w:p>
    <w:p>
      <w:pPr>
        <w:pStyle w:val="23"/>
        <w:spacing w:before="240" w:line="480" w:lineRule="auto"/>
        <w:ind w:firstLine="480" w:firstLineChars="200"/>
        <w:rPr>
          <w:rFonts w:ascii="Times New Roman" w:hAnsi="Times New Roman" w:eastAsia="宋体"/>
          <w:sz w:val="24"/>
          <w:szCs w:val="24"/>
        </w:rPr>
      </w:pPr>
      <w:r>
        <w:rPr>
          <w:rFonts w:ascii="Times New Roman" w:hAnsi="Times New Roman" w:eastAsia="宋体"/>
          <w:sz w:val="24"/>
          <w:szCs w:val="24"/>
        </w:rPr>
        <w:t>（1）我方在投标有效期内撤回投标；</w:t>
      </w:r>
    </w:p>
    <w:p>
      <w:pPr>
        <w:pStyle w:val="23"/>
        <w:spacing w:before="240" w:line="480" w:lineRule="auto"/>
        <w:ind w:firstLine="480" w:firstLineChars="200"/>
        <w:rPr>
          <w:rFonts w:ascii="Times New Roman" w:hAnsi="Times New Roman" w:eastAsia="宋体"/>
          <w:sz w:val="24"/>
          <w:szCs w:val="24"/>
        </w:rPr>
      </w:pPr>
      <w:r>
        <w:rPr>
          <w:rFonts w:ascii="Times New Roman" w:hAnsi="Times New Roman" w:eastAsia="宋体"/>
          <w:sz w:val="24"/>
          <w:szCs w:val="24"/>
        </w:rPr>
        <w:t>（2）我方提供了虚假响应磋商文件的响应文件；</w:t>
      </w:r>
    </w:p>
    <w:p>
      <w:pPr>
        <w:pStyle w:val="23"/>
        <w:spacing w:before="240" w:line="480" w:lineRule="auto"/>
        <w:ind w:firstLine="480" w:firstLineChars="200"/>
        <w:rPr>
          <w:rFonts w:ascii="Times New Roman" w:hAnsi="Times New Roman" w:eastAsia="宋体"/>
          <w:sz w:val="24"/>
          <w:szCs w:val="24"/>
        </w:rPr>
      </w:pPr>
      <w:r>
        <w:rPr>
          <w:rFonts w:ascii="Times New Roman" w:hAnsi="Times New Roman" w:eastAsia="宋体"/>
          <w:sz w:val="24"/>
          <w:szCs w:val="24"/>
        </w:rPr>
        <w:t>（3）在投标过程中有违反法律法规和相关纪律的行为；</w:t>
      </w:r>
    </w:p>
    <w:p>
      <w:pPr>
        <w:pStyle w:val="23"/>
        <w:spacing w:before="240" w:line="480" w:lineRule="auto"/>
        <w:ind w:firstLine="480" w:firstLineChars="200"/>
        <w:rPr>
          <w:rFonts w:ascii="Times New Roman" w:hAnsi="Times New Roman" w:eastAsia="宋体"/>
          <w:sz w:val="24"/>
          <w:szCs w:val="24"/>
        </w:rPr>
      </w:pPr>
      <w:r>
        <w:rPr>
          <w:rFonts w:ascii="Times New Roman" w:hAnsi="Times New Roman" w:eastAsia="宋体"/>
          <w:sz w:val="24"/>
          <w:szCs w:val="24"/>
        </w:rPr>
        <w:t>（4）在收到成交通知书后并在投标有效期内，由于我方原因未能按照磋商文件要求提交履约保证金或未与采购人签订并履行合同。</w:t>
      </w:r>
    </w:p>
    <w:p>
      <w:pPr>
        <w:pStyle w:val="23"/>
        <w:spacing w:before="240" w:line="480" w:lineRule="auto"/>
        <w:ind w:firstLine="480" w:firstLineChars="200"/>
        <w:rPr>
          <w:rFonts w:ascii="Times New Roman" w:hAnsi="Times New Roman" w:eastAsia="宋体"/>
          <w:sz w:val="24"/>
          <w:szCs w:val="24"/>
        </w:rPr>
      </w:pPr>
      <w:r>
        <w:rPr>
          <w:rFonts w:ascii="Times New Roman" w:hAnsi="Times New Roman" w:eastAsia="宋体"/>
          <w:sz w:val="24"/>
          <w:szCs w:val="24"/>
        </w:rPr>
        <w:t>5、我方同意按磋商文件中的规定，本响应文件的有效期限为开标后</w:t>
      </w:r>
      <w:r>
        <w:rPr>
          <w:rFonts w:hint="eastAsia" w:ascii="Times New Roman" w:hAnsi="Times New Roman" w:eastAsia="宋体"/>
          <w:b/>
          <w:sz w:val="24"/>
          <w:szCs w:val="24"/>
          <w:u w:val="single"/>
          <w:lang w:val="en-US" w:eastAsia="zh-CN"/>
        </w:rPr>
        <w:t>60</w:t>
      </w:r>
      <w:r>
        <w:rPr>
          <w:rFonts w:ascii="Times New Roman" w:hAnsi="Times New Roman" w:eastAsia="宋体"/>
          <w:sz w:val="24"/>
          <w:szCs w:val="24"/>
        </w:rPr>
        <w:t>天。</w:t>
      </w:r>
    </w:p>
    <w:p>
      <w:pPr>
        <w:pStyle w:val="23"/>
        <w:spacing w:before="240" w:line="480" w:lineRule="auto"/>
        <w:ind w:firstLine="480" w:firstLineChars="200"/>
        <w:rPr>
          <w:rFonts w:ascii="Times New Roman" w:hAnsi="Times New Roman" w:eastAsia="宋体"/>
          <w:sz w:val="24"/>
          <w:szCs w:val="24"/>
        </w:rPr>
      </w:pPr>
      <w:r>
        <w:rPr>
          <w:rFonts w:ascii="Times New Roman" w:hAnsi="Times New Roman" w:eastAsia="宋体"/>
          <w:sz w:val="24"/>
          <w:szCs w:val="24"/>
        </w:rPr>
        <w:t>6、我方愿意提供采购</w:t>
      </w:r>
      <w:r>
        <w:rPr>
          <w:rFonts w:hint="eastAsia" w:ascii="Times New Roman" w:hAnsi="Times New Roman" w:eastAsia="宋体"/>
          <w:sz w:val="24"/>
          <w:szCs w:val="24"/>
          <w:lang w:val="en-US" w:eastAsia="zh-CN"/>
        </w:rPr>
        <w:t>方</w:t>
      </w:r>
      <w:r>
        <w:rPr>
          <w:rFonts w:ascii="Times New Roman" w:hAnsi="Times New Roman" w:eastAsia="宋体"/>
          <w:sz w:val="24"/>
          <w:szCs w:val="24"/>
        </w:rPr>
        <w:t>在磋商文件中要求的所有资料。</w:t>
      </w:r>
    </w:p>
    <w:p>
      <w:pPr>
        <w:pStyle w:val="23"/>
        <w:spacing w:before="240" w:line="480" w:lineRule="auto"/>
        <w:ind w:firstLine="480" w:firstLineChars="200"/>
        <w:rPr>
          <w:rFonts w:ascii="Times New Roman" w:hAnsi="Times New Roman" w:eastAsia="宋体"/>
          <w:sz w:val="24"/>
          <w:szCs w:val="24"/>
        </w:rPr>
      </w:pPr>
      <w:r>
        <w:rPr>
          <w:rFonts w:ascii="Times New Roman" w:hAnsi="Times New Roman" w:eastAsia="宋体"/>
          <w:sz w:val="24"/>
          <w:szCs w:val="24"/>
        </w:rPr>
        <w:t>7、我方愿意遵守磋商公告及磋商文件中明示的收费标准。</w:t>
      </w:r>
    </w:p>
    <w:p>
      <w:pPr>
        <w:pStyle w:val="23"/>
        <w:spacing w:before="240" w:line="480" w:lineRule="auto"/>
        <w:ind w:firstLine="480" w:firstLineChars="200"/>
        <w:rPr>
          <w:rFonts w:ascii="Times New Roman" w:hAnsi="Times New Roman" w:eastAsia="宋体"/>
          <w:sz w:val="24"/>
          <w:szCs w:val="24"/>
        </w:rPr>
      </w:pPr>
      <w:r>
        <w:rPr>
          <w:rFonts w:ascii="Times New Roman" w:hAnsi="Times New Roman" w:eastAsia="宋体"/>
          <w:sz w:val="24"/>
          <w:szCs w:val="24"/>
        </w:rPr>
        <w:t>8、我方承诺该项投标在开标后至投标有效期截止前保持有效，不作任何更改和变动。</w:t>
      </w:r>
    </w:p>
    <w:p>
      <w:pPr>
        <w:pStyle w:val="23"/>
        <w:spacing w:before="240" w:line="480" w:lineRule="auto"/>
        <w:ind w:left="3845" w:leftChars="200" w:hanging="3405" w:hangingChars="1419"/>
        <w:jc w:val="left"/>
        <w:rPr>
          <w:rFonts w:ascii="Times New Roman" w:hAnsi="Times New Roman" w:eastAsia="宋体"/>
          <w:sz w:val="24"/>
          <w:szCs w:val="24"/>
        </w:rPr>
      </w:pPr>
      <w:r>
        <w:rPr>
          <w:rFonts w:ascii="Times New Roman" w:hAnsi="Times New Roman" w:eastAsia="宋体"/>
          <w:sz w:val="24"/>
          <w:szCs w:val="24"/>
        </w:rPr>
        <w:t>供应商：（供应商单位名称并加盖公章）</w:t>
      </w:r>
    </w:p>
    <w:p>
      <w:pPr>
        <w:pStyle w:val="23"/>
        <w:spacing w:before="240" w:line="480" w:lineRule="auto"/>
        <w:ind w:left="3845" w:leftChars="200" w:hanging="3405" w:hangingChars="1419"/>
        <w:jc w:val="left"/>
        <w:rPr>
          <w:rFonts w:ascii="Times New Roman" w:hAnsi="Times New Roman" w:eastAsia="宋体"/>
          <w:sz w:val="24"/>
          <w:szCs w:val="24"/>
        </w:rPr>
      </w:pPr>
      <w:r>
        <w:rPr>
          <w:rFonts w:ascii="Times New Roman" w:hAnsi="Times New Roman" w:eastAsia="宋体"/>
          <w:sz w:val="24"/>
          <w:szCs w:val="24"/>
        </w:rPr>
        <w:t>法定代表人或其委托代理人：</w:t>
      </w:r>
      <w:r>
        <w:rPr>
          <w:rFonts w:ascii="Times New Roman" w:hAnsi="Times New Roman" w:eastAsia="宋体"/>
          <w:iCs/>
          <w:sz w:val="24"/>
          <w:szCs w:val="24"/>
        </w:rPr>
        <w:t>（签字或盖章）</w:t>
      </w:r>
    </w:p>
    <w:p>
      <w:pPr>
        <w:pStyle w:val="23"/>
        <w:tabs>
          <w:tab w:val="left" w:pos="5040"/>
        </w:tabs>
        <w:spacing w:before="240" w:line="480" w:lineRule="auto"/>
        <w:ind w:firstLine="480" w:firstLineChars="200"/>
        <w:rPr>
          <w:rFonts w:ascii="Times New Roman" w:hAnsi="Times New Roman" w:eastAsia="宋体"/>
          <w:sz w:val="24"/>
          <w:szCs w:val="24"/>
        </w:rPr>
      </w:pPr>
      <w:r>
        <w:rPr>
          <w:rFonts w:ascii="Times New Roman" w:hAnsi="Times New Roman" w:eastAsia="宋体"/>
          <w:sz w:val="24"/>
          <w:szCs w:val="24"/>
        </w:rPr>
        <w:t>地址：</w:t>
      </w:r>
    </w:p>
    <w:p>
      <w:pPr>
        <w:pStyle w:val="23"/>
        <w:tabs>
          <w:tab w:val="left" w:pos="5040"/>
        </w:tabs>
        <w:spacing w:before="240" w:line="480" w:lineRule="auto"/>
        <w:ind w:firstLine="480" w:firstLineChars="200"/>
        <w:rPr>
          <w:rFonts w:ascii="Times New Roman" w:hAnsi="Times New Roman" w:eastAsia="宋体"/>
          <w:sz w:val="24"/>
          <w:szCs w:val="24"/>
        </w:rPr>
      </w:pPr>
      <w:r>
        <w:rPr>
          <w:rFonts w:ascii="Times New Roman" w:hAnsi="Times New Roman" w:eastAsia="宋体"/>
          <w:sz w:val="24"/>
          <w:szCs w:val="24"/>
        </w:rPr>
        <w:t>联系人：</w:t>
      </w:r>
    </w:p>
    <w:p>
      <w:pPr>
        <w:pStyle w:val="23"/>
        <w:tabs>
          <w:tab w:val="left" w:pos="5040"/>
        </w:tabs>
        <w:spacing w:before="240" w:line="480" w:lineRule="auto"/>
        <w:ind w:firstLine="480" w:firstLineChars="200"/>
        <w:rPr>
          <w:rFonts w:ascii="Times New Roman" w:hAnsi="Times New Roman" w:eastAsia="宋体"/>
          <w:sz w:val="24"/>
          <w:szCs w:val="24"/>
        </w:rPr>
      </w:pPr>
      <w:r>
        <w:rPr>
          <w:rFonts w:ascii="Times New Roman" w:hAnsi="Times New Roman" w:eastAsia="宋体"/>
          <w:sz w:val="24"/>
          <w:szCs w:val="24"/>
        </w:rPr>
        <w:t>电子邮件：</w:t>
      </w:r>
    </w:p>
    <w:p>
      <w:pPr>
        <w:pStyle w:val="23"/>
        <w:spacing w:before="240" w:line="480" w:lineRule="auto"/>
        <w:ind w:firstLine="480" w:firstLineChars="200"/>
        <w:rPr>
          <w:rFonts w:ascii="Times New Roman" w:hAnsi="Times New Roman" w:eastAsia="宋体"/>
          <w:sz w:val="24"/>
          <w:szCs w:val="24"/>
        </w:rPr>
      </w:pPr>
      <w:r>
        <w:rPr>
          <w:rFonts w:ascii="Times New Roman" w:hAnsi="Times New Roman" w:eastAsia="宋体"/>
          <w:sz w:val="24"/>
          <w:szCs w:val="24"/>
        </w:rPr>
        <w:t>邮政编码：</w:t>
      </w:r>
    </w:p>
    <w:p>
      <w:pPr>
        <w:pStyle w:val="23"/>
        <w:spacing w:before="240" w:line="480" w:lineRule="auto"/>
        <w:ind w:firstLine="480" w:firstLineChars="200"/>
        <w:rPr>
          <w:rFonts w:ascii="Times New Roman" w:hAnsi="Times New Roman" w:eastAsia="宋体"/>
          <w:sz w:val="24"/>
          <w:szCs w:val="24"/>
        </w:rPr>
      </w:pPr>
      <w:r>
        <w:rPr>
          <w:rFonts w:ascii="Times New Roman" w:hAnsi="Times New Roman" w:eastAsia="宋体"/>
          <w:sz w:val="24"/>
          <w:szCs w:val="24"/>
        </w:rPr>
        <w:t>联系电话：</w:t>
      </w:r>
    </w:p>
    <w:p>
      <w:pPr>
        <w:pStyle w:val="23"/>
        <w:tabs>
          <w:tab w:val="left" w:pos="5040"/>
        </w:tabs>
        <w:spacing w:before="240" w:line="480" w:lineRule="auto"/>
        <w:ind w:firstLine="480" w:firstLineChars="200"/>
        <w:rPr>
          <w:rFonts w:ascii="Times New Roman" w:hAnsi="Times New Roman" w:eastAsia="宋体"/>
          <w:sz w:val="24"/>
          <w:szCs w:val="24"/>
        </w:rPr>
      </w:pPr>
      <w:r>
        <w:rPr>
          <w:rFonts w:ascii="Times New Roman" w:hAnsi="Times New Roman" w:eastAsia="宋体"/>
          <w:sz w:val="24"/>
          <w:szCs w:val="24"/>
        </w:rPr>
        <w:t>传真：</w:t>
      </w:r>
    </w:p>
    <w:p>
      <w:pPr>
        <w:pStyle w:val="23"/>
        <w:spacing w:before="240" w:line="480" w:lineRule="auto"/>
        <w:rPr>
          <w:rFonts w:ascii="Times New Roman" w:hAnsi="Times New Roman" w:eastAsia="宋体"/>
          <w:sz w:val="24"/>
          <w:szCs w:val="24"/>
        </w:rPr>
      </w:pPr>
    </w:p>
    <w:p>
      <w:pPr>
        <w:pStyle w:val="23"/>
        <w:spacing w:before="240" w:line="480" w:lineRule="auto"/>
        <w:ind w:firstLine="5040" w:firstLineChars="2100"/>
        <w:rPr>
          <w:rFonts w:ascii="Times New Roman" w:hAnsi="Times New Roman" w:eastAsia="宋体"/>
          <w:sz w:val="24"/>
          <w:szCs w:val="24"/>
        </w:rPr>
        <w:sectPr>
          <w:footerReference r:id="rId9" w:type="first"/>
          <w:headerReference r:id="rId7" w:type="default"/>
          <w:footerReference r:id="rId8" w:type="default"/>
          <w:pgSz w:w="11906" w:h="16838"/>
          <w:pgMar w:top="1418" w:right="1418" w:bottom="1418" w:left="1588" w:header="851" w:footer="851" w:gutter="0"/>
          <w:pgNumType w:fmt="decimal"/>
          <w:cols w:space="720" w:num="1"/>
          <w:titlePg/>
          <w:docGrid w:type="lines" w:linePitch="312" w:charSpace="0"/>
        </w:sectPr>
      </w:pPr>
      <w:r>
        <w:rPr>
          <w:rFonts w:ascii="Times New Roman" w:hAnsi="Times New Roman" w:eastAsia="宋体"/>
          <w:sz w:val="24"/>
          <w:szCs w:val="24"/>
        </w:rPr>
        <w:t>日期：      年     月     日</w:t>
      </w:r>
    </w:p>
    <w:p>
      <w:pPr>
        <w:bidi w:val="0"/>
        <w:jc w:val="center"/>
        <w:rPr>
          <w:b/>
          <w:bCs/>
          <w:sz w:val="28"/>
          <w:szCs w:val="28"/>
        </w:rPr>
      </w:pPr>
      <w:bookmarkStart w:id="21" w:name="_Toc513642583"/>
      <w:bookmarkStart w:id="22" w:name="_Toc513642585"/>
      <w:bookmarkStart w:id="23" w:name="_Toc3162"/>
      <w:r>
        <w:rPr>
          <w:b/>
          <w:bCs/>
          <w:sz w:val="28"/>
          <w:szCs w:val="28"/>
        </w:rPr>
        <w:t>2、开标一览表</w:t>
      </w:r>
      <w:bookmarkEnd w:id="21"/>
    </w:p>
    <w:p>
      <w:pPr>
        <w:spacing w:before="240" w:line="480" w:lineRule="auto"/>
        <w:rPr>
          <w:sz w:val="24"/>
          <w:szCs w:val="24"/>
        </w:rPr>
      </w:pPr>
      <w:r>
        <w:rPr>
          <w:sz w:val="24"/>
          <w:szCs w:val="24"/>
        </w:rPr>
        <w:t>项目名称：</w:t>
      </w:r>
    </w:p>
    <w:p>
      <w:pPr>
        <w:spacing w:before="240" w:line="480" w:lineRule="auto"/>
        <w:rPr>
          <w:sz w:val="24"/>
          <w:szCs w:val="24"/>
        </w:rPr>
      </w:pPr>
      <w:r>
        <w:rPr>
          <w:sz w:val="24"/>
          <w:szCs w:val="24"/>
        </w:rPr>
        <w:t>项目编号：                                               金额单位：      元</w:t>
      </w:r>
    </w:p>
    <w:tbl>
      <w:tblPr>
        <w:tblStyle w:val="14"/>
        <w:tblW w:w="9379" w:type="dxa"/>
        <w:tblInd w:w="-515" w:type="dxa"/>
        <w:tblLayout w:type="fixed"/>
        <w:tblCellMar>
          <w:top w:w="0" w:type="dxa"/>
          <w:left w:w="0" w:type="dxa"/>
          <w:bottom w:w="0" w:type="dxa"/>
          <w:right w:w="0" w:type="dxa"/>
        </w:tblCellMar>
      </w:tblPr>
      <w:tblGrid>
        <w:gridCol w:w="2363"/>
        <w:gridCol w:w="1316"/>
        <w:gridCol w:w="5700"/>
      </w:tblGrid>
      <w:tr>
        <w:tblPrEx>
          <w:tblCellMar>
            <w:top w:w="0" w:type="dxa"/>
            <w:left w:w="0" w:type="dxa"/>
            <w:bottom w:w="0" w:type="dxa"/>
            <w:right w:w="0" w:type="dxa"/>
          </w:tblCellMar>
        </w:tblPrEx>
        <w:trPr>
          <w:trHeight w:val="1673" w:hRule="exact"/>
        </w:trPr>
        <w:tc>
          <w:tcPr>
            <w:tcW w:w="2363" w:type="dxa"/>
            <w:vMerge w:val="restart"/>
            <w:tcBorders>
              <w:top w:val="single" w:color="000000" w:sz="4" w:space="0"/>
              <w:left w:val="single" w:color="000000" w:sz="4" w:space="0"/>
              <w:right w:val="single" w:color="000000" w:sz="4" w:space="0"/>
            </w:tcBorders>
          </w:tcPr>
          <w:p>
            <w:pPr>
              <w:spacing w:line="200" w:lineRule="exact"/>
              <w:rPr>
                <w:b/>
                <w:bCs/>
                <w:sz w:val="24"/>
              </w:rPr>
            </w:pPr>
          </w:p>
          <w:p>
            <w:pPr>
              <w:spacing w:line="200" w:lineRule="exact"/>
              <w:rPr>
                <w:b/>
                <w:bCs/>
                <w:sz w:val="24"/>
              </w:rPr>
            </w:pPr>
          </w:p>
          <w:p>
            <w:pPr>
              <w:spacing w:line="200" w:lineRule="exact"/>
              <w:rPr>
                <w:b/>
                <w:bCs/>
                <w:sz w:val="24"/>
              </w:rPr>
            </w:pPr>
          </w:p>
          <w:p>
            <w:pPr>
              <w:spacing w:line="200" w:lineRule="exact"/>
              <w:rPr>
                <w:b/>
                <w:bCs/>
                <w:sz w:val="24"/>
              </w:rPr>
            </w:pPr>
          </w:p>
          <w:p>
            <w:pPr>
              <w:spacing w:before="12" w:line="280" w:lineRule="exact"/>
              <w:rPr>
                <w:b/>
                <w:bCs/>
                <w:sz w:val="24"/>
              </w:rPr>
            </w:pPr>
          </w:p>
          <w:p>
            <w:pPr>
              <w:ind w:left="565" w:right="545"/>
              <w:jc w:val="center"/>
              <w:rPr>
                <w:b/>
                <w:bCs/>
                <w:sz w:val="24"/>
              </w:rPr>
            </w:pPr>
            <w:r>
              <w:rPr>
                <w:b/>
                <w:bCs/>
                <w:sz w:val="24"/>
              </w:rPr>
              <w:t>投标总价</w:t>
            </w:r>
          </w:p>
          <w:p>
            <w:pPr>
              <w:spacing w:before="6" w:line="140" w:lineRule="exact"/>
              <w:rPr>
                <w:b/>
                <w:bCs/>
                <w:sz w:val="24"/>
              </w:rPr>
            </w:pPr>
          </w:p>
          <w:p>
            <w:pPr>
              <w:ind w:left="217" w:right="61"/>
              <w:jc w:val="center"/>
              <w:rPr>
                <w:b/>
                <w:bCs/>
                <w:sz w:val="24"/>
              </w:rPr>
            </w:pPr>
            <w:r>
              <w:rPr>
                <w:b/>
                <w:bCs/>
                <w:sz w:val="24"/>
              </w:rPr>
              <w:t>（人民币/元）</w:t>
            </w:r>
          </w:p>
        </w:tc>
        <w:tc>
          <w:tcPr>
            <w:tcW w:w="1316" w:type="dxa"/>
            <w:tcBorders>
              <w:top w:val="single" w:color="000000" w:sz="4" w:space="0"/>
              <w:left w:val="single" w:color="000000" w:sz="4" w:space="0"/>
              <w:bottom w:val="single" w:color="000000" w:sz="4" w:space="0"/>
              <w:right w:val="single" w:color="000000" w:sz="4" w:space="0"/>
            </w:tcBorders>
          </w:tcPr>
          <w:p>
            <w:pPr>
              <w:spacing w:before="8" w:line="120" w:lineRule="exact"/>
              <w:rPr>
                <w:b/>
                <w:bCs/>
                <w:sz w:val="24"/>
              </w:rPr>
            </w:pPr>
          </w:p>
          <w:p>
            <w:pPr>
              <w:spacing w:line="200" w:lineRule="exact"/>
              <w:rPr>
                <w:b/>
                <w:bCs/>
                <w:sz w:val="24"/>
              </w:rPr>
            </w:pPr>
          </w:p>
          <w:p>
            <w:pPr>
              <w:spacing w:line="200" w:lineRule="exact"/>
              <w:rPr>
                <w:b/>
                <w:bCs/>
                <w:sz w:val="24"/>
              </w:rPr>
            </w:pPr>
          </w:p>
          <w:p>
            <w:pPr>
              <w:ind w:left="383" w:right="-20"/>
              <w:rPr>
                <w:b/>
                <w:bCs/>
                <w:sz w:val="24"/>
              </w:rPr>
            </w:pPr>
            <w:r>
              <w:rPr>
                <w:b/>
                <w:bCs/>
                <w:sz w:val="24"/>
              </w:rPr>
              <w:t>大写</w:t>
            </w:r>
          </w:p>
        </w:tc>
        <w:tc>
          <w:tcPr>
            <w:tcW w:w="5700" w:type="dxa"/>
            <w:tcBorders>
              <w:top w:val="single" w:color="000000" w:sz="4" w:space="0"/>
              <w:left w:val="single" w:color="000000" w:sz="4" w:space="0"/>
              <w:bottom w:val="single" w:color="000000" w:sz="4" w:space="0"/>
              <w:right w:val="single" w:color="000000" w:sz="4" w:space="0"/>
            </w:tcBorders>
          </w:tcPr>
          <w:p>
            <w:pPr>
              <w:rPr>
                <w:b/>
                <w:bCs/>
                <w:sz w:val="24"/>
              </w:rPr>
            </w:pPr>
          </w:p>
        </w:tc>
      </w:tr>
      <w:tr>
        <w:tblPrEx>
          <w:tblCellMar>
            <w:top w:w="0" w:type="dxa"/>
            <w:left w:w="0" w:type="dxa"/>
            <w:bottom w:w="0" w:type="dxa"/>
            <w:right w:w="0" w:type="dxa"/>
          </w:tblCellMar>
        </w:tblPrEx>
        <w:trPr>
          <w:trHeight w:val="1754" w:hRule="exact"/>
        </w:trPr>
        <w:tc>
          <w:tcPr>
            <w:tcW w:w="2363" w:type="dxa"/>
            <w:vMerge w:val="continue"/>
            <w:tcBorders>
              <w:left w:val="single" w:color="000000" w:sz="4" w:space="0"/>
              <w:bottom w:val="single" w:color="000000" w:sz="4" w:space="0"/>
              <w:right w:val="single" w:color="000000" w:sz="4" w:space="0"/>
            </w:tcBorders>
          </w:tcPr>
          <w:p>
            <w:pPr>
              <w:rPr>
                <w:b/>
                <w:bCs/>
                <w:sz w:val="24"/>
              </w:rPr>
            </w:pPr>
          </w:p>
        </w:tc>
        <w:tc>
          <w:tcPr>
            <w:tcW w:w="1316" w:type="dxa"/>
            <w:tcBorders>
              <w:top w:val="single" w:color="000000" w:sz="4" w:space="0"/>
              <w:left w:val="single" w:color="000000" w:sz="4" w:space="0"/>
              <w:bottom w:val="single" w:color="000000" w:sz="4" w:space="0"/>
              <w:right w:val="single" w:color="000000" w:sz="4" w:space="0"/>
            </w:tcBorders>
          </w:tcPr>
          <w:p>
            <w:pPr>
              <w:spacing w:before="9" w:line="160" w:lineRule="exact"/>
              <w:rPr>
                <w:b/>
                <w:bCs/>
                <w:sz w:val="24"/>
              </w:rPr>
            </w:pPr>
          </w:p>
          <w:p>
            <w:pPr>
              <w:spacing w:line="200" w:lineRule="exact"/>
              <w:rPr>
                <w:b/>
                <w:bCs/>
                <w:sz w:val="24"/>
              </w:rPr>
            </w:pPr>
          </w:p>
          <w:p>
            <w:pPr>
              <w:spacing w:line="200" w:lineRule="exact"/>
              <w:rPr>
                <w:b/>
                <w:bCs/>
                <w:sz w:val="24"/>
              </w:rPr>
            </w:pPr>
          </w:p>
          <w:p>
            <w:pPr>
              <w:ind w:left="383" w:right="-20"/>
              <w:rPr>
                <w:b/>
                <w:bCs/>
                <w:sz w:val="24"/>
              </w:rPr>
            </w:pPr>
            <w:r>
              <w:rPr>
                <w:b/>
                <w:bCs/>
                <w:sz w:val="24"/>
              </w:rPr>
              <w:t>小写</w:t>
            </w:r>
          </w:p>
        </w:tc>
        <w:tc>
          <w:tcPr>
            <w:tcW w:w="5700" w:type="dxa"/>
            <w:tcBorders>
              <w:top w:val="single" w:color="000000" w:sz="4" w:space="0"/>
              <w:left w:val="single" w:color="000000" w:sz="4" w:space="0"/>
              <w:bottom w:val="single" w:color="000000" w:sz="4" w:space="0"/>
              <w:right w:val="single" w:color="000000" w:sz="4" w:space="0"/>
            </w:tcBorders>
          </w:tcPr>
          <w:p>
            <w:pPr>
              <w:rPr>
                <w:b/>
                <w:bCs/>
                <w:sz w:val="24"/>
              </w:rPr>
            </w:pPr>
          </w:p>
        </w:tc>
      </w:tr>
      <w:tr>
        <w:tblPrEx>
          <w:tblCellMar>
            <w:top w:w="0" w:type="dxa"/>
            <w:left w:w="0" w:type="dxa"/>
            <w:bottom w:w="0" w:type="dxa"/>
            <w:right w:w="0" w:type="dxa"/>
          </w:tblCellMar>
        </w:tblPrEx>
        <w:trPr>
          <w:trHeight w:val="1747" w:hRule="exact"/>
        </w:trPr>
        <w:tc>
          <w:tcPr>
            <w:tcW w:w="2363" w:type="dxa"/>
            <w:tcBorders>
              <w:top w:val="single" w:color="000000" w:sz="4" w:space="0"/>
              <w:left w:val="single" w:color="000000" w:sz="4" w:space="0"/>
              <w:bottom w:val="single" w:color="000000" w:sz="4" w:space="0"/>
              <w:right w:val="single" w:color="000000" w:sz="4" w:space="0"/>
            </w:tcBorders>
          </w:tcPr>
          <w:p>
            <w:pPr>
              <w:ind w:right="406"/>
              <w:rPr>
                <w:b/>
                <w:bCs/>
                <w:sz w:val="24"/>
              </w:rPr>
            </w:pPr>
          </w:p>
          <w:p>
            <w:pPr>
              <w:ind w:right="406" w:firstLine="482" w:firstLineChars="200"/>
              <w:rPr>
                <w:b/>
                <w:bCs/>
                <w:sz w:val="24"/>
              </w:rPr>
            </w:pPr>
            <w:r>
              <w:rPr>
                <w:b/>
                <w:bCs/>
                <w:sz w:val="24"/>
              </w:rPr>
              <w:t>服务期限及</w:t>
            </w:r>
          </w:p>
          <w:p>
            <w:pPr>
              <w:ind w:right="406" w:firstLine="482" w:firstLineChars="200"/>
              <w:rPr>
                <w:b/>
                <w:bCs/>
                <w:sz w:val="24"/>
              </w:rPr>
            </w:pPr>
            <w:r>
              <w:rPr>
                <w:b/>
                <w:bCs/>
                <w:sz w:val="24"/>
              </w:rPr>
              <w:t>服务地点</w:t>
            </w:r>
          </w:p>
        </w:tc>
        <w:tc>
          <w:tcPr>
            <w:tcW w:w="7016" w:type="dxa"/>
            <w:gridSpan w:val="2"/>
            <w:tcBorders>
              <w:top w:val="single" w:color="000000" w:sz="4" w:space="0"/>
              <w:left w:val="single" w:color="000000" w:sz="4" w:space="0"/>
              <w:bottom w:val="single" w:color="000000" w:sz="4" w:space="0"/>
              <w:right w:val="single" w:color="000000" w:sz="4" w:space="0"/>
            </w:tcBorders>
          </w:tcPr>
          <w:p>
            <w:pPr>
              <w:ind w:right="406"/>
              <w:rPr>
                <w:b/>
                <w:bCs/>
                <w:sz w:val="24"/>
              </w:rPr>
            </w:pPr>
          </w:p>
          <w:p>
            <w:pPr>
              <w:ind w:right="406" w:firstLine="482" w:firstLineChars="200"/>
              <w:rPr>
                <w:b/>
                <w:bCs/>
                <w:sz w:val="24"/>
              </w:rPr>
            </w:pPr>
            <w:r>
              <w:rPr>
                <w:b/>
                <w:bCs/>
                <w:sz w:val="24"/>
              </w:rPr>
              <w:t>服务期限：</w:t>
            </w:r>
          </w:p>
          <w:p>
            <w:pPr>
              <w:rPr>
                <w:b/>
                <w:bCs/>
                <w:sz w:val="24"/>
              </w:rPr>
            </w:pPr>
          </w:p>
          <w:p>
            <w:pPr>
              <w:ind w:firstLine="482" w:firstLineChars="200"/>
              <w:rPr>
                <w:b/>
                <w:bCs/>
                <w:sz w:val="24"/>
              </w:rPr>
            </w:pPr>
            <w:r>
              <w:rPr>
                <w:b/>
                <w:bCs/>
                <w:sz w:val="24"/>
              </w:rPr>
              <w:t>服务地点：</w:t>
            </w:r>
          </w:p>
        </w:tc>
      </w:tr>
    </w:tbl>
    <w:p>
      <w:pPr>
        <w:spacing w:before="240" w:line="480" w:lineRule="auto"/>
        <w:rPr>
          <w:szCs w:val="21"/>
        </w:rPr>
      </w:pPr>
    </w:p>
    <w:p>
      <w:pPr>
        <w:spacing w:before="240" w:line="480" w:lineRule="auto"/>
        <w:rPr>
          <w:sz w:val="24"/>
          <w:szCs w:val="24"/>
        </w:rPr>
      </w:pPr>
      <w:r>
        <w:rPr>
          <w:sz w:val="24"/>
          <w:szCs w:val="24"/>
        </w:rPr>
        <w:t>供应商：</w:t>
      </w:r>
      <w:r>
        <w:rPr>
          <w:iCs/>
          <w:sz w:val="24"/>
          <w:szCs w:val="24"/>
        </w:rPr>
        <w:t>（盖章）</w:t>
      </w:r>
    </w:p>
    <w:p>
      <w:pPr>
        <w:spacing w:before="240" w:line="480" w:lineRule="auto"/>
        <w:rPr>
          <w:sz w:val="24"/>
          <w:szCs w:val="24"/>
        </w:rPr>
      </w:pPr>
    </w:p>
    <w:p>
      <w:pPr>
        <w:spacing w:before="240" w:line="480" w:lineRule="auto"/>
        <w:rPr>
          <w:iCs/>
          <w:sz w:val="24"/>
          <w:szCs w:val="24"/>
        </w:rPr>
      </w:pPr>
      <w:r>
        <w:rPr>
          <w:sz w:val="24"/>
          <w:szCs w:val="24"/>
        </w:rPr>
        <w:t>法定代表人或其委托代理人：</w:t>
      </w:r>
      <w:r>
        <w:rPr>
          <w:iCs/>
          <w:sz w:val="24"/>
          <w:szCs w:val="24"/>
        </w:rPr>
        <w:t>（签字或盖章）</w:t>
      </w:r>
    </w:p>
    <w:p>
      <w:pPr>
        <w:spacing w:before="240" w:line="480" w:lineRule="auto"/>
        <w:ind w:firstLine="1650" w:firstLineChars="750"/>
        <w:rPr>
          <w:iCs/>
          <w:szCs w:val="21"/>
        </w:rPr>
      </w:pPr>
    </w:p>
    <w:p>
      <w:pPr>
        <w:spacing w:before="240" w:line="480" w:lineRule="auto"/>
        <w:ind w:firstLine="4730" w:firstLineChars="2150"/>
        <w:rPr>
          <w:sz w:val="28"/>
          <w:szCs w:val="28"/>
        </w:rPr>
      </w:pPr>
      <w:r>
        <w:rPr>
          <w:iCs/>
          <w:szCs w:val="21"/>
        </w:rPr>
        <w:t>日期：         年   月    日</w:t>
      </w:r>
    </w:p>
    <w:p>
      <w:pPr>
        <w:pStyle w:val="3"/>
        <w:jc w:val="center"/>
        <w:rPr>
          <w:rStyle w:val="22"/>
          <w:rFonts w:ascii="Times New Roman" w:hAnsi="Times New Roman" w:eastAsia="宋体"/>
          <w:b/>
          <w:bCs/>
          <w:sz w:val="28"/>
          <w:szCs w:val="28"/>
        </w:rPr>
      </w:pPr>
    </w:p>
    <w:p>
      <w:pPr>
        <w:pStyle w:val="3"/>
        <w:jc w:val="center"/>
        <w:rPr>
          <w:rStyle w:val="22"/>
          <w:rFonts w:ascii="Times New Roman" w:hAnsi="Times New Roman" w:eastAsia="宋体"/>
          <w:b/>
          <w:bCs/>
          <w:sz w:val="28"/>
          <w:szCs w:val="28"/>
        </w:rPr>
      </w:pPr>
    </w:p>
    <w:p>
      <w:pPr>
        <w:bidi w:val="0"/>
        <w:jc w:val="center"/>
        <w:rPr>
          <w:b/>
          <w:bCs/>
          <w:sz w:val="28"/>
          <w:szCs w:val="28"/>
        </w:rPr>
      </w:pPr>
      <w:r>
        <w:rPr>
          <w:b/>
          <w:bCs/>
          <w:sz w:val="28"/>
          <w:szCs w:val="28"/>
        </w:rPr>
        <w:t>3、技术需求响应表</w:t>
      </w:r>
      <w:bookmarkEnd w:id="22"/>
      <w:bookmarkEnd w:id="23"/>
    </w:p>
    <w:p>
      <w:pPr>
        <w:shd w:val="clear" w:color="auto" w:fill="FFFFFF"/>
        <w:snapToGrid w:val="0"/>
        <w:spacing w:line="360" w:lineRule="auto"/>
        <w:ind w:firstLine="480" w:firstLineChars="200"/>
        <w:rPr>
          <w:sz w:val="24"/>
          <w:u w:val="single"/>
        </w:rPr>
      </w:pPr>
      <w:r>
        <w:rPr>
          <w:sz w:val="24"/>
        </w:rPr>
        <w:t>说明：供应商必须仔细阅读磋商文件采购需求书中所有技术规范条款和相关功能要求，并对所有技术规范、功能条目及资质要求列入下表，未列入下表的视作供应商不响应。</w:t>
      </w:r>
      <w:r>
        <w:rPr>
          <w:b/>
          <w:sz w:val="24"/>
          <w:u w:val="single"/>
        </w:rPr>
        <w:t>供应商必须根据所投产品的实际情况（技术资料）如实填写。</w:t>
      </w:r>
    </w:p>
    <w:tbl>
      <w:tblPr>
        <w:tblStyle w:val="14"/>
        <w:tblW w:w="891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200"/>
        <w:gridCol w:w="2880"/>
        <w:gridCol w:w="2700"/>
        <w:gridCol w:w="735"/>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trPr>
        <w:tc>
          <w:tcPr>
            <w:tcW w:w="66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szCs w:val="21"/>
              </w:rPr>
            </w:pPr>
            <w:r>
              <w:rPr>
                <w:szCs w:val="21"/>
              </w:rPr>
              <w:t>序号</w:t>
            </w:r>
          </w:p>
        </w:tc>
        <w:tc>
          <w:tcPr>
            <w:tcW w:w="12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szCs w:val="21"/>
              </w:rPr>
            </w:pPr>
            <w:r>
              <w:rPr>
                <w:szCs w:val="21"/>
              </w:rPr>
              <w:t>名称/项目</w:t>
            </w:r>
          </w:p>
        </w:tc>
        <w:tc>
          <w:tcPr>
            <w:tcW w:w="28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szCs w:val="21"/>
              </w:rPr>
            </w:pPr>
            <w:r>
              <w:rPr>
                <w:szCs w:val="21"/>
              </w:rPr>
              <w:t>竞争性磋商文件技术参数/功能描述</w:t>
            </w:r>
          </w:p>
        </w:tc>
        <w:tc>
          <w:tcPr>
            <w:tcW w:w="27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szCs w:val="21"/>
              </w:rPr>
            </w:pPr>
            <w:r>
              <w:rPr>
                <w:szCs w:val="21"/>
              </w:rPr>
              <w:t>供应商技术参数/功能描述</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szCs w:val="21"/>
              </w:rPr>
            </w:pPr>
            <w:r>
              <w:rPr>
                <w:szCs w:val="21"/>
              </w:rPr>
              <w:t>偏离情况</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szCs w:val="21"/>
              </w:rPr>
            </w:pPr>
            <w:r>
              <w:rPr>
                <w:szCs w:val="21"/>
              </w:rPr>
              <w:t>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blHeader/>
        </w:trPr>
        <w:tc>
          <w:tcPr>
            <w:tcW w:w="66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sz w:val="24"/>
              </w:rPr>
            </w:pPr>
            <w:r>
              <w:rPr>
                <w:sz w:val="24"/>
              </w:rPr>
              <w:t>1</w:t>
            </w:r>
          </w:p>
        </w:tc>
        <w:tc>
          <w:tcPr>
            <w:tcW w:w="120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blHeader/>
        </w:trPr>
        <w:tc>
          <w:tcPr>
            <w:tcW w:w="66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sz w:val="24"/>
              </w:rPr>
            </w:pPr>
            <w:r>
              <w:rPr>
                <w:sz w:val="24"/>
              </w:rPr>
              <w:t>2</w:t>
            </w:r>
          </w:p>
        </w:tc>
        <w:tc>
          <w:tcPr>
            <w:tcW w:w="120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blHeader/>
        </w:trPr>
        <w:tc>
          <w:tcPr>
            <w:tcW w:w="66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sz w:val="24"/>
              </w:rPr>
            </w:pPr>
            <w:r>
              <w:rPr>
                <w:sz w:val="24"/>
              </w:rPr>
              <w:t>3</w:t>
            </w:r>
          </w:p>
        </w:tc>
        <w:tc>
          <w:tcPr>
            <w:tcW w:w="120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blHeader/>
        </w:trPr>
        <w:tc>
          <w:tcPr>
            <w:tcW w:w="66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sz w:val="24"/>
              </w:rPr>
            </w:pPr>
            <w:r>
              <w:rPr>
                <w:sz w:val="24"/>
              </w:rPr>
              <w:t>4</w:t>
            </w:r>
          </w:p>
        </w:tc>
        <w:tc>
          <w:tcPr>
            <w:tcW w:w="120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blHeader/>
        </w:trPr>
        <w:tc>
          <w:tcPr>
            <w:tcW w:w="66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sz w:val="24"/>
              </w:rPr>
            </w:pPr>
            <w:r>
              <w:rPr>
                <w:sz w:val="24"/>
              </w:rPr>
              <w:t>5</w:t>
            </w:r>
          </w:p>
        </w:tc>
        <w:tc>
          <w:tcPr>
            <w:tcW w:w="120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blHeader/>
        </w:trPr>
        <w:tc>
          <w:tcPr>
            <w:tcW w:w="66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sz w:val="24"/>
              </w:rPr>
            </w:pPr>
          </w:p>
        </w:tc>
        <w:tc>
          <w:tcPr>
            <w:tcW w:w="120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sz w:val="24"/>
              </w:rPr>
            </w:pPr>
            <w:r>
              <w:rPr>
                <w:sz w:val="24"/>
              </w:rPr>
              <w:t>…</w:t>
            </w:r>
          </w:p>
        </w:tc>
        <w:tc>
          <w:tcPr>
            <w:tcW w:w="28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sz w:val="24"/>
              </w:rPr>
            </w:pPr>
          </w:p>
        </w:tc>
      </w:tr>
    </w:tbl>
    <w:p>
      <w:pPr>
        <w:shd w:val="clear" w:color="auto" w:fill="FFFFFF"/>
        <w:snapToGrid w:val="0"/>
        <w:spacing w:line="360" w:lineRule="auto"/>
        <w:rPr>
          <w:bCs/>
          <w:sz w:val="24"/>
        </w:rPr>
      </w:pPr>
    </w:p>
    <w:p>
      <w:pPr>
        <w:shd w:val="clear" w:color="auto" w:fill="FFFFFF"/>
        <w:snapToGrid w:val="0"/>
        <w:spacing w:line="360" w:lineRule="auto"/>
        <w:rPr>
          <w:sz w:val="24"/>
        </w:rPr>
      </w:pPr>
      <w:r>
        <w:rPr>
          <w:bCs/>
          <w:sz w:val="24"/>
        </w:rPr>
        <w:t>供应商全称：（公章）            授权代表：（签字或盖章）</w:t>
      </w:r>
    </w:p>
    <w:p>
      <w:pPr>
        <w:shd w:val="clear" w:color="auto" w:fill="FFFFFF"/>
        <w:tabs>
          <w:tab w:val="left" w:pos="11130"/>
        </w:tabs>
        <w:snapToGrid w:val="0"/>
        <w:spacing w:line="360" w:lineRule="auto"/>
        <w:rPr>
          <w:bCs/>
          <w:sz w:val="24"/>
        </w:rPr>
      </w:pPr>
    </w:p>
    <w:p>
      <w:pPr>
        <w:shd w:val="clear" w:color="auto" w:fill="FFFFFF"/>
        <w:snapToGrid w:val="0"/>
        <w:spacing w:line="360" w:lineRule="auto"/>
        <w:rPr>
          <w:bCs/>
          <w:sz w:val="24"/>
          <w:szCs w:val="24"/>
        </w:rPr>
      </w:pPr>
      <w:r>
        <w:rPr>
          <w:bCs/>
          <w:sz w:val="24"/>
          <w:szCs w:val="24"/>
        </w:rPr>
        <w:t>注：1、此表为表样，行数可自行添加，但表式不变。</w:t>
      </w:r>
    </w:p>
    <w:p>
      <w:pPr>
        <w:numPr>
          <w:ilvl w:val="0"/>
          <w:numId w:val="2"/>
        </w:numPr>
        <w:shd w:val="clear" w:color="auto" w:fill="FFFFFF"/>
        <w:snapToGrid w:val="0"/>
        <w:spacing w:line="360" w:lineRule="auto"/>
        <w:ind w:firstLine="480" w:firstLineChars="200"/>
        <w:rPr>
          <w:bCs/>
          <w:sz w:val="24"/>
          <w:szCs w:val="24"/>
        </w:rPr>
      </w:pPr>
      <w:r>
        <w:rPr>
          <w:bCs/>
          <w:sz w:val="24"/>
          <w:szCs w:val="24"/>
        </w:rPr>
        <w:t>偏离情况说明分正偏离、完全响应、负偏离，分别表示优于要求、满足要求、不满足要求。</w:t>
      </w:r>
      <w:r>
        <w:rPr>
          <w:rFonts w:ascii="宋体" w:hAnsi="宋体" w:eastAsia="宋体" w:cs="宋体"/>
          <w:b/>
          <w:bCs/>
          <w:sz w:val="24"/>
          <w:szCs w:val="24"/>
          <w:u w:val="single"/>
          <w:lang w:val="zh-CN" w:eastAsia="zh-CN" w:bidi="zh-CN"/>
        </w:rPr>
        <w:t>评委评标时不能只根据供应商填写的偏离情况说明来判断是否响应</w:t>
      </w:r>
      <w:r>
        <w:rPr>
          <w:bCs/>
          <w:sz w:val="24"/>
          <w:szCs w:val="24"/>
        </w:rPr>
        <w:t>，而应认真查阅“响应文件技术参数/功能响应”内容以及相关的技术资料判断是否满足要求。</w:t>
      </w:r>
      <w:bookmarkStart w:id="24" w:name="_Toc513642586"/>
      <w:bookmarkStart w:id="25" w:name="_Toc23373"/>
    </w:p>
    <w:p>
      <w:pPr>
        <w:numPr>
          <w:ilvl w:val="0"/>
          <w:numId w:val="0"/>
        </w:numPr>
        <w:shd w:val="clear" w:color="auto" w:fill="FFFFFF"/>
        <w:snapToGrid w:val="0"/>
        <w:spacing w:line="360" w:lineRule="auto"/>
        <w:ind w:leftChars="200" w:right="0" w:rightChars="0"/>
        <w:rPr>
          <w:rFonts w:ascii="宋体" w:hAnsi="宋体" w:eastAsia="宋体" w:cs="宋体"/>
          <w:b/>
          <w:bCs/>
          <w:sz w:val="28"/>
          <w:szCs w:val="28"/>
          <w:lang w:val="zh-CN" w:eastAsia="zh-CN" w:bidi="zh-CN"/>
        </w:rPr>
      </w:pPr>
    </w:p>
    <w:p>
      <w:pPr>
        <w:numPr>
          <w:ilvl w:val="0"/>
          <w:numId w:val="0"/>
        </w:numPr>
        <w:shd w:val="clear" w:color="auto" w:fill="FFFFFF"/>
        <w:snapToGrid w:val="0"/>
        <w:spacing w:line="360" w:lineRule="auto"/>
        <w:ind w:leftChars="200" w:right="0" w:rightChars="0"/>
        <w:rPr>
          <w:rFonts w:ascii="宋体" w:hAnsi="宋体" w:eastAsia="宋体" w:cs="宋体"/>
          <w:b/>
          <w:bCs/>
          <w:sz w:val="28"/>
          <w:szCs w:val="28"/>
          <w:lang w:val="zh-CN" w:eastAsia="zh-CN" w:bidi="zh-CN"/>
        </w:rPr>
      </w:pPr>
    </w:p>
    <w:p>
      <w:pPr>
        <w:numPr>
          <w:ilvl w:val="0"/>
          <w:numId w:val="0"/>
        </w:numPr>
        <w:shd w:val="clear" w:color="auto" w:fill="FFFFFF"/>
        <w:snapToGrid w:val="0"/>
        <w:spacing w:line="360" w:lineRule="auto"/>
        <w:ind w:leftChars="200" w:right="0" w:rightChars="0"/>
        <w:rPr>
          <w:rFonts w:ascii="宋体" w:hAnsi="宋体" w:eastAsia="宋体" w:cs="宋体"/>
          <w:b/>
          <w:bCs/>
          <w:sz w:val="28"/>
          <w:szCs w:val="28"/>
          <w:lang w:val="zh-CN" w:eastAsia="zh-CN" w:bidi="zh-CN"/>
        </w:rPr>
      </w:pPr>
    </w:p>
    <w:p>
      <w:pPr>
        <w:numPr>
          <w:ilvl w:val="0"/>
          <w:numId w:val="0"/>
        </w:numPr>
        <w:shd w:val="clear" w:color="auto" w:fill="FFFFFF"/>
        <w:snapToGrid w:val="0"/>
        <w:spacing w:line="360" w:lineRule="auto"/>
        <w:ind w:leftChars="200" w:right="0" w:rightChars="0"/>
        <w:rPr>
          <w:rFonts w:ascii="宋体" w:hAnsi="宋体" w:eastAsia="宋体" w:cs="宋体"/>
          <w:b/>
          <w:bCs/>
          <w:sz w:val="28"/>
          <w:szCs w:val="28"/>
          <w:lang w:val="zh-CN" w:eastAsia="zh-CN" w:bidi="zh-CN"/>
        </w:rPr>
      </w:pPr>
    </w:p>
    <w:p>
      <w:pPr>
        <w:numPr>
          <w:ilvl w:val="0"/>
          <w:numId w:val="0"/>
        </w:numPr>
        <w:shd w:val="clear" w:color="auto" w:fill="FFFFFF"/>
        <w:snapToGrid w:val="0"/>
        <w:spacing w:line="360" w:lineRule="auto"/>
        <w:ind w:leftChars="200" w:right="0" w:rightChars="0"/>
        <w:rPr>
          <w:rFonts w:ascii="宋体" w:hAnsi="宋体" w:eastAsia="宋体" w:cs="宋体"/>
          <w:b/>
          <w:bCs/>
          <w:sz w:val="28"/>
          <w:szCs w:val="28"/>
          <w:lang w:val="zh-CN" w:eastAsia="zh-CN" w:bidi="zh-CN"/>
        </w:rPr>
      </w:pPr>
    </w:p>
    <w:p>
      <w:pPr>
        <w:numPr>
          <w:ilvl w:val="0"/>
          <w:numId w:val="0"/>
        </w:numPr>
        <w:shd w:val="clear" w:color="auto" w:fill="FFFFFF"/>
        <w:snapToGrid w:val="0"/>
        <w:spacing w:line="360" w:lineRule="auto"/>
        <w:ind w:right="0" w:rightChars="0"/>
        <w:rPr>
          <w:rFonts w:ascii="宋体" w:hAnsi="宋体" w:eastAsia="宋体" w:cs="宋体"/>
          <w:b/>
          <w:bCs/>
          <w:sz w:val="28"/>
          <w:szCs w:val="28"/>
          <w:lang w:val="zh-CN" w:eastAsia="zh-CN" w:bidi="zh-CN"/>
        </w:rPr>
      </w:pPr>
    </w:p>
    <w:p>
      <w:pPr>
        <w:numPr>
          <w:ilvl w:val="0"/>
          <w:numId w:val="0"/>
        </w:numPr>
        <w:shd w:val="clear" w:color="auto" w:fill="FFFFFF"/>
        <w:snapToGrid w:val="0"/>
        <w:spacing w:line="360" w:lineRule="auto"/>
        <w:ind w:leftChars="200" w:right="0" w:rightChars="0"/>
        <w:rPr>
          <w:rFonts w:ascii="宋体" w:hAnsi="宋体" w:eastAsia="宋体" w:cs="宋体"/>
          <w:b/>
          <w:bCs/>
          <w:sz w:val="28"/>
          <w:szCs w:val="28"/>
          <w:lang w:val="zh-CN" w:eastAsia="zh-CN" w:bidi="zh-CN"/>
        </w:rPr>
      </w:pPr>
    </w:p>
    <w:p>
      <w:pPr>
        <w:numPr>
          <w:ilvl w:val="0"/>
          <w:numId w:val="0"/>
        </w:numPr>
        <w:shd w:val="clear" w:color="auto" w:fill="FFFFFF"/>
        <w:snapToGrid w:val="0"/>
        <w:spacing w:line="360" w:lineRule="auto"/>
        <w:ind w:leftChars="200" w:right="0" w:rightChars="0"/>
        <w:jc w:val="center"/>
        <w:rPr>
          <w:rFonts w:ascii="Times New Roman" w:hAnsi="Times New Roman" w:eastAsia="宋体"/>
          <w:sz w:val="28"/>
          <w:szCs w:val="28"/>
        </w:rPr>
      </w:pPr>
      <w:r>
        <w:rPr>
          <w:rFonts w:ascii="宋体" w:hAnsi="宋体" w:eastAsia="宋体" w:cs="宋体"/>
          <w:b/>
          <w:bCs/>
          <w:sz w:val="28"/>
          <w:szCs w:val="28"/>
          <w:lang w:val="zh-CN" w:eastAsia="zh-CN" w:bidi="zh-CN"/>
        </w:rPr>
        <w:t>4、法定代表人身份证明</w:t>
      </w:r>
      <w:bookmarkEnd w:id="24"/>
      <w:bookmarkEnd w:id="25"/>
    </w:p>
    <w:p>
      <w:pPr>
        <w:pStyle w:val="8"/>
        <w:overflowPunct w:val="0"/>
        <w:spacing w:before="240" w:line="480" w:lineRule="auto"/>
        <w:ind w:firstLine="357" w:firstLineChars="149"/>
        <w:rPr>
          <w:rFonts w:eastAsia="宋体"/>
          <w:szCs w:val="24"/>
        </w:rPr>
      </w:pPr>
      <w:r>
        <w:rPr>
          <w:rFonts w:eastAsia="宋体"/>
          <w:szCs w:val="24"/>
        </w:rPr>
        <w:t>姓名：性别：年龄职务；</w:t>
      </w:r>
    </w:p>
    <w:p>
      <w:pPr>
        <w:pStyle w:val="8"/>
        <w:overflowPunct w:val="0"/>
        <w:spacing w:before="240" w:line="480" w:lineRule="auto"/>
        <w:ind w:firstLine="357" w:firstLineChars="149"/>
        <w:rPr>
          <w:rFonts w:eastAsia="宋体"/>
          <w:szCs w:val="24"/>
        </w:rPr>
      </w:pPr>
      <w:r>
        <w:rPr>
          <w:rFonts w:eastAsia="宋体"/>
          <w:szCs w:val="24"/>
        </w:rPr>
        <w:t>系（供应商）的法定代表人 。</w:t>
      </w:r>
    </w:p>
    <w:p>
      <w:pPr>
        <w:pStyle w:val="8"/>
        <w:overflowPunct w:val="0"/>
        <w:spacing w:before="240" w:line="480" w:lineRule="auto"/>
        <w:ind w:firstLine="357" w:firstLineChars="149"/>
        <w:rPr>
          <w:rFonts w:eastAsia="宋体"/>
          <w:szCs w:val="24"/>
        </w:rPr>
      </w:pPr>
      <w:r>
        <w:rPr>
          <w:rFonts w:eastAsia="宋体"/>
          <w:szCs w:val="24"/>
        </w:rPr>
        <w:t>特此证明。</w:t>
      </w:r>
    </w:p>
    <w:p>
      <w:pPr>
        <w:pStyle w:val="8"/>
        <w:overflowPunct w:val="0"/>
        <w:spacing w:before="240" w:line="480" w:lineRule="auto"/>
        <w:ind w:firstLine="357" w:firstLineChars="149"/>
        <w:rPr>
          <w:rFonts w:eastAsia="宋体"/>
          <w:szCs w:val="24"/>
        </w:rPr>
      </w:pPr>
      <w:r>
        <w:rPr>
          <w:rFonts w:eastAsia="宋体"/>
          <w:szCs w:val="24"/>
        </w:rPr>
        <w:t>附：法定代表人居民身份证</w:t>
      </w:r>
    </w:p>
    <w:p>
      <w:pPr>
        <w:pStyle w:val="8"/>
        <w:overflowPunct w:val="0"/>
        <w:spacing w:before="240" w:line="480" w:lineRule="auto"/>
        <w:ind w:firstLine="0"/>
        <w:rPr>
          <w:rFonts w:eastAsia="宋体"/>
          <w:szCs w:val="24"/>
        </w:rPr>
      </w:pPr>
    </w:p>
    <w:p>
      <w:pPr>
        <w:pStyle w:val="8"/>
        <w:overflowPunct w:val="0"/>
        <w:spacing w:before="240" w:line="480" w:lineRule="auto"/>
        <w:ind w:firstLine="0"/>
        <w:rPr>
          <w:rFonts w:eastAsia="宋体"/>
          <w:szCs w:val="24"/>
        </w:rPr>
      </w:pPr>
      <w:r>
        <w:rPr>
          <w:rFonts w:eastAsia="宋体"/>
          <w:szCs w:val="24"/>
        </w:rPr>
        <w:t xml:space="preserve">                  供应商</w:t>
      </w:r>
      <w:r>
        <w:rPr>
          <w:rFonts w:eastAsia="宋体"/>
          <w:szCs w:val="24"/>
          <w:u w:val="single"/>
        </w:rPr>
        <w:t xml:space="preserve">：    </w:t>
      </w:r>
      <w:r>
        <w:rPr>
          <w:rFonts w:eastAsia="宋体"/>
          <w:szCs w:val="24"/>
        </w:rPr>
        <w:t>（供应商单位名称并加盖公章）</w:t>
      </w:r>
    </w:p>
    <w:p>
      <w:pPr>
        <w:pStyle w:val="8"/>
        <w:overflowPunct w:val="0"/>
        <w:spacing w:before="240" w:line="480" w:lineRule="auto"/>
        <w:ind w:firstLine="3216" w:firstLineChars="1340"/>
        <w:rPr>
          <w:rFonts w:eastAsia="宋体"/>
          <w:szCs w:val="24"/>
          <w:u w:val="single"/>
        </w:rPr>
      </w:pPr>
      <w:r>
        <w:rPr>
          <w:rFonts w:eastAsia="宋体"/>
          <w:szCs w:val="24"/>
        </w:rPr>
        <w:t>日  期：</w:t>
      </w:r>
      <w:r>
        <w:rPr>
          <w:rFonts w:hint="eastAsia" w:eastAsia="宋体"/>
          <w:szCs w:val="24"/>
          <w:lang w:val="en-US" w:eastAsia="zh-CN"/>
        </w:rPr>
        <w:t xml:space="preserve">     </w:t>
      </w:r>
      <w:r>
        <w:rPr>
          <w:rFonts w:eastAsia="宋体"/>
          <w:szCs w:val="24"/>
        </w:rPr>
        <w:t>年</w:t>
      </w:r>
      <w:r>
        <w:rPr>
          <w:rFonts w:hint="eastAsia" w:eastAsia="宋体"/>
          <w:szCs w:val="24"/>
          <w:lang w:val="en-US" w:eastAsia="zh-CN"/>
        </w:rPr>
        <w:t xml:space="preserve">  </w:t>
      </w:r>
      <w:r>
        <w:rPr>
          <w:rFonts w:eastAsia="宋体"/>
          <w:szCs w:val="24"/>
        </w:rPr>
        <w:t>月</w:t>
      </w:r>
      <w:r>
        <w:rPr>
          <w:rFonts w:hint="eastAsia" w:eastAsia="宋体"/>
          <w:szCs w:val="24"/>
          <w:lang w:val="en-US" w:eastAsia="zh-CN"/>
        </w:rPr>
        <w:t xml:space="preserve">   </w:t>
      </w:r>
      <w:r>
        <w:rPr>
          <w:rFonts w:eastAsia="宋体"/>
          <w:szCs w:val="24"/>
        </w:rPr>
        <w:t>日</w:t>
      </w:r>
    </w:p>
    <w:p>
      <w:pPr>
        <w:pStyle w:val="8"/>
        <w:overflowPunct w:val="0"/>
        <w:spacing w:before="240" w:line="480" w:lineRule="auto"/>
        <w:ind w:firstLine="3204" w:firstLineChars="1140"/>
        <w:rPr>
          <w:rFonts w:eastAsia="宋体"/>
          <w:b/>
          <w:sz w:val="28"/>
          <w:szCs w:val="28"/>
        </w:rPr>
      </w:pPr>
    </w:p>
    <w:p>
      <w:pPr>
        <w:adjustRightInd w:val="0"/>
        <w:snapToGrid w:val="0"/>
        <w:spacing w:beforeLines="50" w:line="480" w:lineRule="auto"/>
        <w:rPr>
          <w:szCs w:val="21"/>
        </w:rPr>
        <w:sectPr>
          <w:footerReference r:id="rId10" w:type="default"/>
          <w:footerReference r:id="rId11" w:type="even"/>
          <w:pgSz w:w="11906" w:h="16838"/>
          <w:pgMar w:top="1361" w:right="1418" w:bottom="1361" w:left="1588" w:header="851" w:footer="992" w:gutter="0"/>
          <w:pgNumType w:fmt="decimal"/>
          <w:cols w:space="720" w:num="1"/>
          <w:docGrid w:type="lines" w:linePitch="312" w:charSpace="0"/>
        </w:sectPr>
      </w:pPr>
    </w:p>
    <w:bookmarkEnd w:id="18"/>
    <w:p>
      <w:pPr>
        <w:numPr>
          <w:ilvl w:val="0"/>
          <w:numId w:val="0"/>
        </w:numPr>
        <w:shd w:val="clear" w:color="auto" w:fill="FFFFFF"/>
        <w:snapToGrid w:val="0"/>
        <w:spacing w:line="360" w:lineRule="auto"/>
        <w:ind w:leftChars="200" w:right="0" w:rightChars="0"/>
        <w:jc w:val="center"/>
        <w:rPr>
          <w:rFonts w:ascii="宋体" w:hAnsi="宋体" w:eastAsia="宋体" w:cs="宋体"/>
          <w:b/>
          <w:bCs/>
          <w:sz w:val="28"/>
          <w:szCs w:val="28"/>
          <w:lang w:val="zh-CN" w:eastAsia="zh-CN" w:bidi="zh-CN"/>
        </w:rPr>
      </w:pPr>
      <w:bookmarkStart w:id="26" w:name="_Toc513642587"/>
      <w:bookmarkStart w:id="27" w:name="_Toc3538"/>
      <w:r>
        <w:rPr>
          <w:rFonts w:ascii="宋体" w:hAnsi="宋体" w:eastAsia="宋体" w:cs="宋体"/>
          <w:b/>
          <w:bCs/>
          <w:sz w:val="28"/>
          <w:szCs w:val="28"/>
          <w:lang w:val="zh-CN" w:eastAsia="zh-CN" w:bidi="zh-CN"/>
        </w:rPr>
        <w:t>5、授权委托书</w:t>
      </w:r>
      <w:bookmarkEnd w:id="26"/>
      <w:bookmarkEnd w:id="27"/>
    </w:p>
    <w:p>
      <w:pPr>
        <w:pStyle w:val="8"/>
        <w:overflowPunct w:val="0"/>
        <w:spacing w:before="240" w:line="480" w:lineRule="auto"/>
        <w:ind w:firstLineChars="200"/>
        <w:jc w:val="both"/>
        <w:rPr>
          <w:rFonts w:eastAsia="宋体"/>
          <w:sz w:val="24"/>
          <w:szCs w:val="24"/>
        </w:rPr>
      </w:pPr>
      <w:r>
        <w:rPr>
          <w:rFonts w:eastAsia="宋体"/>
          <w:sz w:val="24"/>
          <w:szCs w:val="24"/>
        </w:rPr>
        <w:t>本授权委托书声明：我</w:t>
      </w:r>
      <w:r>
        <w:rPr>
          <w:rFonts w:eastAsia="宋体"/>
          <w:iCs/>
          <w:sz w:val="24"/>
          <w:szCs w:val="24"/>
          <w:u w:val="single"/>
        </w:rPr>
        <w:t xml:space="preserve">  （姓名）  </w:t>
      </w:r>
      <w:r>
        <w:rPr>
          <w:rFonts w:eastAsia="宋体"/>
          <w:sz w:val="24"/>
          <w:szCs w:val="24"/>
        </w:rPr>
        <w:t>系</w:t>
      </w:r>
      <w:r>
        <w:rPr>
          <w:rFonts w:eastAsia="宋体"/>
          <w:iCs/>
          <w:sz w:val="24"/>
          <w:szCs w:val="24"/>
          <w:u w:val="single"/>
        </w:rPr>
        <w:t xml:space="preserve">   （供应商名称）  </w:t>
      </w:r>
      <w:r>
        <w:rPr>
          <w:rFonts w:eastAsia="宋体"/>
          <w:sz w:val="24"/>
          <w:szCs w:val="24"/>
        </w:rPr>
        <w:t>的法定代表人，现授权委托</w:t>
      </w:r>
      <w:r>
        <w:rPr>
          <w:rFonts w:eastAsia="宋体"/>
          <w:iCs/>
          <w:sz w:val="24"/>
          <w:szCs w:val="24"/>
          <w:u w:val="single"/>
        </w:rPr>
        <w:t xml:space="preserve">  （被授权人姓名及身份证号码）  </w:t>
      </w:r>
      <w:r>
        <w:rPr>
          <w:rFonts w:eastAsia="宋体"/>
          <w:sz w:val="24"/>
          <w:szCs w:val="24"/>
        </w:rPr>
        <w:t>为我公司的代理人，以本公司的名义参加贵公司组织的</w:t>
      </w:r>
      <w:r>
        <w:rPr>
          <w:rFonts w:eastAsia="宋体"/>
          <w:sz w:val="24"/>
          <w:szCs w:val="24"/>
          <w:u w:val="single"/>
        </w:rPr>
        <w:t xml:space="preserve">   （项目名称及项目编号）</w:t>
      </w:r>
      <w:r>
        <w:rPr>
          <w:rFonts w:eastAsia="宋体"/>
          <w:sz w:val="24"/>
          <w:szCs w:val="24"/>
        </w:rPr>
        <w:t>的招标活动，处理与本磋商活动有关的一切事务。被授权人在开标、评标、合同签订过程中所签署的一切文件，我均予以承认。</w:t>
      </w:r>
    </w:p>
    <w:p>
      <w:pPr>
        <w:pStyle w:val="8"/>
        <w:overflowPunct w:val="0"/>
        <w:spacing w:before="240" w:line="480" w:lineRule="auto"/>
        <w:ind w:firstLineChars="200"/>
        <w:jc w:val="both"/>
        <w:rPr>
          <w:rFonts w:eastAsia="宋体"/>
          <w:sz w:val="24"/>
          <w:szCs w:val="24"/>
        </w:rPr>
      </w:pPr>
      <w:r>
        <w:rPr>
          <w:rFonts w:eastAsia="宋体"/>
          <w:sz w:val="24"/>
          <w:szCs w:val="24"/>
        </w:rPr>
        <w:t>与本项目有关的质疑、投诉事项，我将亲自处理或另行特别授权。</w:t>
      </w:r>
    </w:p>
    <w:p>
      <w:pPr>
        <w:pStyle w:val="8"/>
        <w:overflowPunct w:val="0"/>
        <w:spacing w:before="240" w:line="480" w:lineRule="auto"/>
        <w:ind w:firstLineChars="200"/>
        <w:jc w:val="both"/>
        <w:rPr>
          <w:rFonts w:eastAsia="宋体"/>
          <w:sz w:val="24"/>
          <w:szCs w:val="24"/>
        </w:rPr>
      </w:pPr>
      <w:r>
        <w:rPr>
          <w:rFonts w:eastAsia="宋体"/>
          <w:sz w:val="24"/>
          <w:szCs w:val="24"/>
        </w:rPr>
        <w:t>本授权委托书的效力自签署日起至合同履行完毕止。</w:t>
      </w:r>
    </w:p>
    <w:p>
      <w:pPr>
        <w:pStyle w:val="8"/>
        <w:overflowPunct w:val="0"/>
        <w:spacing w:before="240" w:line="480" w:lineRule="auto"/>
        <w:ind w:firstLineChars="200"/>
        <w:jc w:val="both"/>
        <w:rPr>
          <w:rFonts w:eastAsia="宋体"/>
          <w:sz w:val="24"/>
          <w:szCs w:val="24"/>
        </w:rPr>
      </w:pPr>
      <w:r>
        <w:rPr>
          <w:rFonts w:eastAsia="宋体"/>
          <w:sz w:val="24"/>
          <w:szCs w:val="24"/>
        </w:rPr>
        <w:t>被授权人无转委托权。特此委托。</w:t>
      </w:r>
    </w:p>
    <w:p>
      <w:pPr>
        <w:pStyle w:val="8"/>
        <w:overflowPunct w:val="0"/>
        <w:spacing w:before="240" w:line="480" w:lineRule="auto"/>
        <w:jc w:val="both"/>
        <w:rPr>
          <w:rFonts w:eastAsia="宋体"/>
          <w:sz w:val="24"/>
          <w:szCs w:val="24"/>
        </w:rPr>
      </w:pPr>
      <w:r>
        <w:rPr>
          <w:rFonts w:eastAsia="宋体"/>
          <w:sz w:val="24"/>
          <w:szCs w:val="24"/>
        </w:rPr>
        <w:t>本授权书于      年   月   日签字生效，特此证明。</w:t>
      </w:r>
    </w:p>
    <w:p>
      <w:pPr>
        <w:pStyle w:val="8"/>
        <w:overflowPunct w:val="0"/>
        <w:spacing w:before="240" w:line="480" w:lineRule="auto"/>
        <w:jc w:val="both"/>
        <w:rPr>
          <w:rFonts w:eastAsia="宋体"/>
          <w:sz w:val="24"/>
          <w:szCs w:val="24"/>
        </w:rPr>
      </w:pPr>
    </w:p>
    <w:p>
      <w:pPr>
        <w:pStyle w:val="8"/>
        <w:overflowPunct w:val="0"/>
        <w:spacing w:before="240" w:line="480" w:lineRule="auto"/>
        <w:ind w:firstLineChars="200"/>
        <w:jc w:val="both"/>
        <w:rPr>
          <w:rFonts w:eastAsia="宋体"/>
          <w:sz w:val="24"/>
          <w:szCs w:val="24"/>
        </w:rPr>
      </w:pPr>
      <w:r>
        <w:rPr>
          <w:rFonts w:eastAsia="宋体"/>
          <w:sz w:val="24"/>
          <w:szCs w:val="24"/>
        </w:rPr>
        <w:t>供应商名称：</w:t>
      </w:r>
    </w:p>
    <w:p>
      <w:pPr>
        <w:pStyle w:val="8"/>
        <w:overflowPunct w:val="0"/>
        <w:spacing w:before="240" w:line="480" w:lineRule="auto"/>
        <w:ind w:firstLineChars="200"/>
        <w:jc w:val="both"/>
        <w:rPr>
          <w:rFonts w:eastAsia="宋体"/>
          <w:sz w:val="24"/>
          <w:szCs w:val="24"/>
        </w:rPr>
      </w:pPr>
      <w:r>
        <w:rPr>
          <w:rFonts w:eastAsia="宋体"/>
          <w:sz w:val="24"/>
          <w:szCs w:val="24"/>
        </w:rPr>
        <w:t>法定代表人：</w:t>
      </w:r>
      <w:r>
        <w:rPr>
          <w:rFonts w:eastAsia="宋体"/>
          <w:iCs/>
          <w:sz w:val="24"/>
          <w:szCs w:val="24"/>
        </w:rPr>
        <w:t>（签字或盖章）</w:t>
      </w:r>
    </w:p>
    <w:p>
      <w:pPr>
        <w:pStyle w:val="8"/>
        <w:overflowPunct w:val="0"/>
        <w:spacing w:before="240" w:line="480" w:lineRule="auto"/>
        <w:ind w:firstLineChars="200"/>
        <w:jc w:val="both"/>
        <w:rPr>
          <w:rFonts w:eastAsia="宋体"/>
          <w:sz w:val="24"/>
          <w:szCs w:val="24"/>
        </w:rPr>
      </w:pPr>
      <w:r>
        <w:rPr>
          <w:rFonts w:eastAsia="宋体"/>
          <w:sz w:val="24"/>
          <w:szCs w:val="24"/>
        </w:rPr>
        <w:t>被授权人：</w:t>
      </w:r>
      <w:r>
        <w:rPr>
          <w:rFonts w:eastAsia="宋体"/>
          <w:iCs/>
          <w:sz w:val="24"/>
          <w:szCs w:val="24"/>
        </w:rPr>
        <w:t>（签字或盖章）</w:t>
      </w:r>
    </w:p>
    <w:p>
      <w:pPr>
        <w:pStyle w:val="23"/>
        <w:spacing w:before="240" w:line="480" w:lineRule="auto"/>
        <w:ind w:firstLine="480" w:firstLineChars="200"/>
        <w:rPr>
          <w:rFonts w:ascii="Times New Roman" w:hAnsi="Times New Roman" w:eastAsia="宋体"/>
          <w:sz w:val="24"/>
          <w:szCs w:val="24"/>
        </w:rPr>
        <w:sectPr>
          <w:pgSz w:w="11906" w:h="16838"/>
          <w:pgMar w:top="1418" w:right="1418" w:bottom="1418" w:left="1588" w:header="851" w:footer="851" w:gutter="0"/>
          <w:pgNumType w:fmt="decimal"/>
          <w:cols w:space="720" w:num="1"/>
          <w:titlePg/>
          <w:docGrid w:type="lines" w:linePitch="312" w:charSpace="0"/>
        </w:sectPr>
      </w:pPr>
      <w:bookmarkStart w:id="28" w:name="_Toc13189"/>
      <w:bookmarkStart w:id="29" w:name="_Toc317237638"/>
      <w:bookmarkStart w:id="30" w:name="_Toc212102886"/>
      <w:r>
        <w:rPr>
          <w:rFonts w:ascii="Times New Roman" w:hAnsi="Times New Roman" w:eastAsia="宋体"/>
          <w:sz w:val="24"/>
          <w:szCs w:val="24"/>
        </w:rPr>
        <w:t>日期：      年     月     日</w:t>
      </w:r>
    </w:p>
    <w:p>
      <w:pPr>
        <w:pStyle w:val="2"/>
        <w:bidi w:val="0"/>
        <w:rPr>
          <w:sz w:val="28"/>
          <w:szCs w:val="28"/>
        </w:rPr>
      </w:pPr>
      <w:bookmarkStart w:id="31" w:name="_Toc31574"/>
      <w:bookmarkStart w:id="32" w:name="_Toc513642588"/>
      <w:r>
        <w:rPr>
          <w:sz w:val="28"/>
          <w:szCs w:val="28"/>
        </w:rPr>
        <w:t>6、供应商基本情况表</w:t>
      </w:r>
      <w:bookmarkEnd w:id="28"/>
      <w:bookmarkEnd w:id="29"/>
      <w:bookmarkEnd w:id="31"/>
      <w:bookmarkEnd w:id="32"/>
    </w:p>
    <w:tbl>
      <w:tblPr>
        <w:tblStyle w:val="14"/>
        <w:tblW w:w="9116"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90"/>
        <w:gridCol w:w="957"/>
        <w:gridCol w:w="1468"/>
        <w:gridCol w:w="733"/>
        <w:gridCol w:w="518"/>
        <w:gridCol w:w="393"/>
        <w:gridCol w:w="948"/>
        <w:gridCol w:w="954"/>
        <w:gridCol w:w="145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690" w:type="dxa"/>
            <w:vAlign w:val="center"/>
          </w:tcPr>
          <w:p>
            <w:pPr>
              <w:autoSpaceDE w:val="0"/>
              <w:autoSpaceDN w:val="0"/>
              <w:adjustRightInd w:val="0"/>
              <w:spacing w:beforeLines="25" w:afterLines="25" w:line="480" w:lineRule="auto"/>
              <w:rPr>
                <w:kern w:val="0"/>
                <w:sz w:val="24"/>
                <w:szCs w:val="24"/>
              </w:rPr>
            </w:pPr>
            <w:r>
              <w:rPr>
                <w:kern w:val="0"/>
                <w:sz w:val="24"/>
                <w:szCs w:val="24"/>
              </w:rPr>
              <w:t>供应商名称</w:t>
            </w:r>
          </w:p>
        </w:tc>
        <w:tc>
          <w:tcPr>
            <w:tcW w:w="7426" w:type="dxa"/>
            <w:gridSpan w:val="8"/>
            <w:vAlign w:val="center"/>
          </w:tcPr>
          <w:p>
            <w:pPr>
              <w:autoSpaceDE w:val="0"/>
              <w:autoSpaceDN w:val="0"/>
              <w:adjustRightInd w:val="0"/>
              <w:spacing w:beforeLines="25" w:afterLines="25" w:line="480" w:lineRule="auto"/>
              <w:rPr>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690" w:type="dxa"/>
            <w:vAlign w:val="center"/>
          </w:tcPr>
          <w:p>
            <w:pPr>
              <w:autoSpaceDE w:val="0"/>
              <w:autoSpaceDN w:val="0"/>
              <w:adjustRightInd w:val="0"/>
              <w:spacing w:beforeLines="25" w:afterLines="25" w:line="480" w:lineRule="auto"/>
              <w:rPr>
                <w:kern w:val="0"/>
                <w:sz w:val="24"/>
                <w:szCs w:val="24"/>
              </w:rPr>
            </w:pPr>
            <w:r>
              <w:rPr>
                <w:kern w:val="0"/>
                <w:sz w:val="24"/>
                <w:szCs w:val="24"/>
              </w:rPr>
              <w:t>注册地址</w:t>
            </w:r>
          </w:p>
        </w:tc>
        <w:tc>
          <w:tcPr>
            <w:tcW w:w="3676" w:type="dxa"/>
            <w:gridSpan w:val="4"/>
            <w:vAlign w:val="center"/>
          </w:tcPr>
          <w:p>
            <w:pPr>
              <w:autoSpaceDE w:val="0"/>
              <w:autoSpaceDN w:val="0"/>
              <w:adjustRightInd w:val="0"/>
              <w:spacing w:beforeLines="25" w:afterLines="25" w:line="480" w:lineRule="auto"/>
              <w:rPr>
                <w:kern w:val="0"/>
                <w:sz w:val="24"/>
                <w:szCs w:val="24"/>
              </w:rPr>
            </w:pPr>
          </w:p>
        </w:tc>
        <w:tc>
          <w:tcPr>
            <w:tcW w:w="1341" w:type="dxa"/>
            <w:gridSpan w:val="2"/>
            <w:vAlign w:val="center"/>
          </w:tcPr>
          <w:p>
            <w:pPr>
              <w:autoSpaceDE w:val="0"/>
              <w:autoSpaceDN w:val="0"/>
              <w:adjustRightInd w:val="0"/>
              <w:spacing w:beforeLines="25" w:afterLines="25" w:line="480" w:lineRule="auto"/>
              <w:rPr>
                <w:kern w:val="0"/>
                <w:sz w:val="24"/>
                <w:szCs w:val="24"/>
              </w:rPr>
            </w:pPr>
            <w:r>
              <w:rPr>
                <w:kern w:val="0"/>
                <w:sz w:val="24"/>
                <w:szCs w:val="24"/>
              </w:rPr>
              <w:t>邮政编码</w:t>
            </w:r>
          </w:p>
        </w:tc>
        <w:tc>
          <w:tcPr>
            <w:tcW w:w="2409" w:type="dxa"/>
            <w:gridSpan w:val="2"/>
            <w:vAlign w:val="center"/>
          </w:tcPr>
          <w:p>
            <w:pPr>
              <w:autoSpaceDE w:val="0"/>
              <w:autoSpaceDN w:val="0"/>
              <w:adjustRightInd w:val="0"/>
              <w:spacing w:beforeLines="25" w:afterLines="25" w:line="480" w:lineRule="auto"/>
              <w:rPr>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90" w:type="dxa"/>
            <w:vMerge w:val="restart"/>
            <w:vAlign w:val="center"/>
          </w:tcPr>
          <w:p>
            <w:pPr>
              <w:autoSpaceDE w:val="0"/>
              <w:autoSpaceDN w:val="0"/>
              <w:adjustRightInd w:val="0"/>
              <w:spacing w:beforeLines="25" w:afterLines="25" w:line="480" w:lineRule="auto"/>
              <w:rPr>
                <w:kern w:val="0"/>
                <w:sz w:val="24"/>
                <w:szCs w:val="24"/>
              </w:rPr>
            </w:pPr>
            <w:r>
              <w:rPr>
                <w:kern w:val="0"/>
                <w:sz w:val="24"/>
                <w:szCs w:val="24"/>
              </w:rPr>
              <w:t>联系方式</w:t>
            </w:r>
          </w:p>
        </w:tc>
        <w:tc>
          <w:tcPr>
            <w:tcW w:w="957" w:type="dxa"/>
            <w:vAlign w:val="center"/>
          </w:tcPr>
          <w:p>
            <w:pPr>
              <w:autoSpaceDE w:val="0"/>
              <w:autoSpaceDN w:val="0"/>
              <w:adjustRightInd w:val="0"/>
              <w:spacing w:beforeLines="25" w:afterLines="25" w:line="480" w:lineRule="auto"/>
              <w:rPr>
                <w:kern w:val="0"/>
                <w:sz w:val="24"/>
                <w:szCs w:val="24"/>
              </w:rPr>
            </w:pPr>
            <w:r>
              <w:rPr>
                <w:kern w:val="0"/>
                <w:sz w:val="24"/>
                <w:szCs w:val="24"/>
              </w:rPr>
              <w:t>联系人</w:t>
            </w:r>
          </w:p>
        </w:tc>
        <w:tc>
          <w:tcPr>
            <w:tcW w:w="2719" w:type="dxa"/>
            <w:gridSpan w:val="3"/>
            <w:vAlign w:val="center"/>
          </w:tcPr>
          <w:p>
            <w:pPr>
              <w:autoSpaceDE w:val="0"/>
              <w:autoSpaceDN w:val="0"/>
              <w:adjustRightInd w:val="0"/>
              <w:spacing w:beforeLines="25" w:afterLines="25" w:line="480" w:lineRule="auto"/>
              <w:rPr>
                <w:kern w:val="0"/>
                <w:sz w:val="24"/>
                <w:szCs w:val="24"/>
              </w:rPr>
            </w:pPr>
          </w:p>
        </w:tc>
        <w:tc>
          <w:tcPr>
            <w:tcW w:w="1341" w:type="dxa"/>
            <w:gridSpan w:val="2"/>
            <w:vAlign w:val="center"/>
          </w:tcPr>
          <w:p>
            <w:pPr>
              <w:autoSpaceDE w:val="0"/>
              <w:autoSpaceDN w:val="0"/>
              <w:adjustRightInd w:val="0"/>
              <w:spacing w:beforeLines="25" w:afterLines="25" w:line="480" w:lineRule="auto"/>
              <w:rPr>
                <w:kern w:val="0"/>
                <w:sz w:val="24"/>
                <w:szCs w:val="24"/>
              </w:rPr>
            </w:pPr>
            <w:r>
              <w:rPr>
                <w:kern w:val="0"/>
                <w:sz w:val="24"/>
                <w:szCs w:val="24"/>
              </w:rPr>
              <w:t>电话</w:t>
            </w:r>
          </w:p>
        </w:tc>
        <w:tc>
          <w:tcPr>
            <w:tcW w:w="2409" w:type="dxa"/>
            <w:gridSpan w:val="2"/>
            <w:vAlign w:val="center"/>
          </w:tcPr>
          <w:p>
            <w:pPr>
              <w:autoSpaceDE w:val="0"/>
              <w:autoSpaceDN w:val="0"/>
              <w:adjustRightInd w:val="0"/>
              <w:spacing w:beforeLines="25" w:afterLines="25" w:line="480" w:lineRule="auto"/>
              <w:rPr>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690" w:type="dxa"/>
            <w:vMerge w:val="continue"/>
            <w:vAlign w:val="center"/>
          </w:tcPr>
          <w:p>
            <w:pPr>
              <w:autoSpaceDE w:val="0"/>
              <w:autoSpaceDN w:val="0"/>
              <w:adjustRightInd w:val="0"/>
              <w:spacing w:beforeLines="25" w:afterLines="25" w:line="480" w:lineRule="auto"/>
              <w:rPr>
                <w:kern w:val="0"/>
                <w:sz w:val="24"/>
                <w:szCs w:val="24"/>
              </w:rPr>
            </w:pPr>
          </w:p>
        </w:tc>
        <w:tc>
          <w:tcPr>
            <w:tcW w:w="957" w:type="dxa"/>
            <w:vAlign w:val="center"/>
          </w:tcPr>
          <w:p>
            <w:pPr>
              <w:autoSpaceDE w:val="0"/>
              <w:autoSpaceDN w:val="0"/>
              <w:adjustRightInd w:val="0"/>
              <w:spacing w:beforeLines="25" w:afterLines="25" w:line="480" w:lineRule="auto"/>
              <w:rPr>
                <w:kern w:val="0"/>
                <w:sz w:val="24"/>
                <w:szCs w:val="24"/>
              </w:rPr>
            </w:pPr>
            <w:r>
              <w:rPr>
                <w:kern w:val="0"/>
                <w:sz w:val="24"/>
                <w:szCs w:val="24"/>
              </w:rPr>
              <w:t>传真</w:t>
            </w:r>
          </w:p>
        </w:tc>
        <w:tc>
          <w:tcPr>
            <w:tcW w:w="2719" w:type="dxa"/>
            <w:gridSpan w:val="3"/>
            <w:vAlign w:val="center"/>
          </w:tcPr>
          <w:p>
            <w:pPr>
              <w:autoSpaceDE w:val="0"/>
              <w:autoSpaceDN w:val="0"/>
              <w:adjustRightInd w:val="0"/>
              <w:spacing w:beforeLines="25" w:afterLines="25" w:line="480" w:lineRule="auto"/>
              <w:rPr>
                <w:kern w:val="0"/>
                <w:sz w:val="24"/>
                <w:szCs w:val="24"/>
              </w:rPr>
            </w:pPr>
          </w:p>
        </w:tc>
        <w:tc>
          <w:tcPr>
            <w:tcW w:w="1341" w:type="dxa"/>
            <w:gridSpan w:val="2"/>
            <w:vAlign w:val="center"/>
          </w:tcPr>
          <w:p>
            <w:pPr>
              <w:autoSpaceDE w:val="0"/>
              <w:autoSpaceDN w:val="0"/>
              <w:adjustRightInd w:val="0"/>
              <w:spacing w:beforeLines="25" w:afterLines="25" w:line="480" w:lineRule="auto"/>
              <w:rPr>
                <w:kern w:val="0"/>
                <w:sz w:val="24"/>
                <w:szCs w:val="24"/>
              </w:rPr>
            </w:pPr>
            <w:r>
              <w:rPr>
                <w:kern w:val="0"/>
                <w:sz w:val="24"/>
                <w:szCs w:val="24"/>
              </w:rPr>
              <w:t>网址</w:t>
            </w:r>
          </w:p>
        </w:tc>
        <w:tc>
          <w:tcPr>
            <w:tcW w:w="2409" w:type="dxa"/>
            <w:gridSpan w:val="2"/>
            <w:vAlign w:val="center"/>
          </w:tcPr>
          <w:p>
            <w:pPr>
              <w:autoSpaceDE w:val="0"/>
              <w:autoSpaceDN w:val="0"/>
              <w:adjustRightInd w:val="0"/>
              <w:spacing w:beforeLines="25" w:afterLines="25" w:line="480" w:lineRule="auto"/>
              <w:rPr>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690" w:type="dxa"/>
            <w:vAlign w:val="center"/>
          </w:tcPr>
          <w:p>
            <w:pPr>
              <w:autoSpaceDE w:val="0"/>
              <w:autoSpaceDN w:val="0"/>
              <w:adjustRightInd w:val="0"/>
              <w:spacing w:beforeLines="25" w:afterLines="25" w:line="480" w:lineRule="auto"/>
              <w:rPr>
                <w:kern w:val="0"/>
                <w:sz w:val="24"/>
                <w:szCs w:val="24"/>
              </w:rPr>
            </w:pPr>
            <w:r>
              <w:rPr>
                <w:kern w:val="0"/>
                <w:sz w:val="24"/>
                <w:szCs w:val="24"/>
              </w:rPr>
              <w:t>法定代表人</w:t>
            </w:r>
          </w:p>
        </w:tc>
        <w:tc>
          <w:tcPr>
            <w:tcW w:w="957" w:type="dxa"/>
            <w:vAlign w:val="center"/>
          </w:tcPr>
          <w:p>
            <w:pPr>
              <w:autoSpaceDE w:val="0"/>
              <w:autoSpaceDN w:val="0"/>
              <w:adjustRightInd w:val="0"/>
              <w:spacing w:beforeLines="25" w:afterLines="25" w:line="480" w:lineRule="auto"/>
              <w:jc w:val="center"/>
              <w:rPr>
                <w:kern w:val="0"/>
                <w:sz w:val="24"/>
                <w:szCs w:val="24"/>
              </w:rPr>
            </w:pPr>
            <w:r>
              <w:rPr>
                <w:kern w:val="0"/>
                <w:sz w:val="24"/>
                <w:szCs w:val="24"/>
              </w:rPr>
              <w:t>姓名</w:t>
            </w:r>
          </w:p>
        </w:tc>
        <w:tc>
          <w:tcPr>
            <w:tcW w:w="1468" w:type="dxa"/>
            <w:vAlign w:val="center"/>
          </w:tcPr>
          <w:p>
            <w:pPr>
              <w:autoSpaceDE w:val="0"/>
              <w:autoSpaceDN w:val="0"/>
              <w:adjustRightInd w:val="0"/>
              <w:spacing w:beforeLines="25" w:afterLines="25" w:line="480" w:lineRule="auto"/>
              <w:rPr>
                <w:kern w:val="0"/>
                <w:sz w:val="24"/>
                <w:szCs w:val="24"/>
              </w:rPr>
            </w:pPr>
          </w:p>
        </w:tc>
        <w:tc>
          <w:tcPr>
            <w:tcW w:w="1251" w:type="dxa"/>
            <w:gridSpan w:val="2"/>
            <w:vAlign w:val="center"/>
          </w:tcPr>
          <w:p>
            <w:pPr>
              <w:autoSpaceDE w:val="0"/>
              <w:autoSpaceDN w:val="0"/>
              <w:adjustRightInd w:val="0"/>
              <w:spacing w:beforeLines="25" w:afterLines="25" w:line="480" w:lineRule="auto"/>
              <w:rPr>
                <w:kern w:val="0"/>
                <w:sz w:val="24"/>
                <w:szCs w:val="24"/>
              </w:rPr>
            </w:pPr>
            <w:r>
              <w:rPr>
                <w:kern w:val="0"/>
                <w:sz w:val="24"/>
                <w:szCs w:val="24"/>
              </w:rPr>
              <w:t>技术职称</w:t>
            </w:r>
          </w:p>
        </w:tc>
        <w:tc>
          <w:tcPr>
            <w:tcW w:w="1341" w:type="dxa"/>
            <w:gridSpan w:val="2"/>
            <w:vAlign w:val="center"/>
          </w:tcPr>
          <w:p>
            <w:pPr>
              <w:autoSpaceDE w:val="0"/>
              <w:autoSpaceDN w:val="0"/>
              <w:adjustRightInd w:val="0"/>
              <w:spacing w:beforeLines="25" w:afterLines="25" w:line="480" w:lineRule="auto"/>
              <w:rPr>
                <w:kern w:val="0"/>
                <w:sz w:val="24"/>
                <w:szCs w:val="24"/>
              </w:rPr>
            </w:pPr>
          </w:p>
        </w:tc>
        <w:tc>
          <w:tcPr>
            <w:tcW w:w="954" w:type="dxa"/>
            <w:vAlign w:val="center"/>
          </w:tcPr>
          <w:p>
            <w:pPr>
              <w:autoSpaceDE w:val="0"/>
              <w:autoSpaceDN w:val="0"/>
              <w:adjustRightInd w:val="0"/>
              <w:spacing w:beforeLines="25" w:afterLines="25" w:line="480" w:lineRule="auto"/>
              <w:rPr>
                <w:kern w:val="0"/>
                <w:sz w:val="24"/>
                <w:szCs w:val="24"/>
              </w:rPr>
            </w:pPr>
            <w:r>
              <w:rPr>
                <w:kern w:val="0"/>
                <w:sz w:val="24"/>
                <w:szCs w:val="24"/>
              </w:rPr>
              <w:t>电话</w:t>
            </w:r>
          </w:p>
        </w:tc>
        <w:tc>
          <w:tcPr>
            <w:tcW w:w="1455" w:type="dxa"/>
            <w:vAlign w:val="center"/>
          </w:tcPr>
          <w:p>
            <w:pPr>
              <w:autoSpaceDE w:val="0"/>
              <w:autoSpaceDN w:val="0"/>
              <w:adjustRightInd w:val="0"/>
              <w:spacing w:beforeLines="25" w:afterLines="25" w:line="480" w:lineRule="auto"/>
              <w:rPr>
                <w:b/>
                <w:bCs/>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690" w:type="dxa"/>
            <w:vAlign w:val="center"/>
          </w:tcPr>
          <w:p>
            <w:pPr>
              <w:autoSpaceDE w:val="0"/>
              <w:autoSpaceDN w:val="0"/>
              <w:adjustRightInd w:val="0"/>
              <w:spacing w:beforeLines="25" w:afterLines="25" w:line="480" w:lineRule="auto"/>
              <w:rPr>
                <w:kern w:val="0"/>
                <w:sz w:val="24"/>
                <w:szCs w:val="24"/>
              </w:rPr>
            </w:pPr>
            <w:r>
              <w:rPr>
                <w:kern w:val="0"/>
                <w:sz w:val="24"/>
                <w:szCs w:val="24"/>
              </w:rPr>
              <w:t>技术负责人</w:t>
            </w:r>
          </w:p>
        </w:tc>
        <w:tc>
          <w:tcPr>
            <w:tcW w:w="957" w:type="dxa"/>
            <w:vAlign w:val="center"/>
          </w:tcPr>
          <w:p>
            <w:pPr>
              <w:autoSpaceDE w:val="0"/>
              <w:autoSpaceDN w:val="0"/>
              <w:adjustRightInd w:val="0"/>
              <w:spacing w:beforeLines="25" w:afterLines="25" w:line="480" w:lineRule="auto"/>
              <w:jc w:val="center"/>
              <w:rPr>
                <w:kern w:val="0"/>
                <w:sz w:val="24"/>
                <w:szCs w:val="24"/>
              </w:rPr>
            </w:pPr>
            <w:r>
              <w:rPr>
                <w:kern w:val="0"/>
                <w:sz w:val="24"/>
                <w:szCs w:val="24"/>
              </w:rPr>
              <w:t>姓名</w:t>
            </w:r>
          </w:p>
        </w:tc>
        <w:tc>
          <w:tcPr>
            <w:tcW w:w="1468" w:type="dxa"/>
            <w:vAlign w:val="center"/>
          </w:tcPr>
          <w:p>
            <w:pPr>
              <w:autoSpaceDE w:val="0"/>
              <w:autoSpaceDN w:val="0"/>
              <w:adjustRightInd w:val="0"/>
              <w:spacing w:beforeLines="25" w:afterLines="25" w:line="480" w:lineRule="auto"/>
              <w:rPr>
                <w:kern w:val="0"/>
                <w:sz w:val="24"/>
                <w:szCs w:val="24"/>
              </w:rPr>
            </w:pPr>
          </w:p>
        </w:tc>
        <w:tc>
          <w:tcPr>
            <w:tcW w:w="1251" w:type="dxa"/>
            <w:gridSpan w:val="2"/>
            <w:vAlign w:val="center"/>
          </w:tcPr>
          <w:p>
            <w:pPr>
              <w:autoSpaceDE w:val="0"/>
              <w:autoSpaceDN w:val="0"/>
              <w:adjustRightInd w:val="0"/>
              <w:spacing w:beforeLines="25" w:afterLines="25" w:line="480" w:lineRule="auto"/>
              <w:rPr>
                <w:kern w:val="0"/>
                <w:sz w:val="24"/>
                <w:szCs w:val="24"/>
              </w:rPr>
            </w:pPr>
            <w:r>
              <w:rPr>
                <w:kern w:val="0"/>
                <w:sz w:val="24"/>
                <w:szCs w:val="24"/>
              </w:rPr>
              <w:t>技术职称</w:t>
            </w:r>
          </w:p>
        </w:tc>
        <w:tc>
          <w:tcPr>
            <w:tcW w:w="1341" w:type="dxa"/>
            <w:gridSpan w:val="2"/>
            <w:vAlign w:val="center"/>
          </w:tcPr>
          <w:p>
            <w:pPr>
              <w:autoSpaceDE w:val="0"/>
              <w:autoSpaceDN w:val="0"/>
              <w:adjustRightInd w:val="0"/>
              <w:spacing w:beforeLines="25" w:afterLines="25" w:line="480" w:lineRule="auto"/>
              <w:rPr>
                <w:kern w:val="0"/>
                <w:sz w:val="24"/>
                <w:szCs w:val="24"/>
              </w:rPr>
            </w:pPr>
          </w:p>
        </w:tc>
        <w:tc>
          <w:tcPr>
            <w:tcW w:w="954" w:type="dxa"/>
            <w:vAlign w:val="center"/>
          </w:tcPr>
          <w:p>
            <w:pPr>
              <w:autoSpaceDE w:val="0"/>
              <w:autoSpaceDN w:val="0"/>
              <w:adjustRightInd w:val="0"/>
              <w:spacing w:beforeLines="25" w:afterLines="25" w:line="480" w:lineRule="auto"/>
              <w:rPr>
                <w:kern w:val="0"/>
                <w:sz w:val="24"/>
                <w:szCs w:val="24"/>
              </w:rPr>
            </w:pPr>
            <w:r>
              <w:rPr>
                <w:kern w:val="0"/>
                <w:sz w:val="24"/>
                <w:szCs w:val="24"/>
              </w:rPr>
              <w:t>电话</w:t>
            </w:r>
          </w:p>
        </w:tc>
        <w:tc>
          <w:tcPr>
            <w:tcW w:w="1455" w:type="dxa"/>
            <w:vAlign w:val="center"/>
          </w:tcPr>
          <w:p>
            <w:pPr>
              <w:autoSpaceDE w:val="0"/>
              <w:autoSpaceDN w:val="0"/>
              <w:adjustRightInd w:val="0"/>
              <w:spacing w:beforeLines="25" w:afterLines="25" w:line="480" w:lineRule="auto"/>
              <w:rPr>
                <w:b/>
                <w:bCs/>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90" w:type="dxa"/>
            <w:vAlign w:val="center"/>
          </w:tcPr>
          <w:p>
            <w:pPr>
              <w:autoSpaceDE w:val="0"/>
              <w:autoSpaceDN w:val="0"/>
              <w:adjustRightInd w:val="0"/>
              <w:spacing w:beforeLines="25" w:afterLines="25" w:line="480" w:lineRule="auto"/>
              <w:rPr>
                <w:kern w:val="0"/>
                <w:sz w:val="24"/>
                <w:szCs w:val="24"/>
              </w:rPr>
            </w:pPr>
            <w:r>
              <w:rPr>
                <w:kern w:val="0"/>
                <w:sz w:val="24"/>
                <w:szCs w:val="24"/>
              </w:rPr>
              <w:t>成立时间</w:t>
            </w:r>
          </w:p>
        </w:tc>
        <w:tc>
          <w:tcPr>
            <w:tcW w:w="3158" w:type="dxa"/>
            <w:gridSpan w:val="3"/>
            <w:tcBorders>
              <w:right w:val="single" w:color="auto" w:sz="4" w:space="0"/>
            </w:tcBorders>
            <w:vAlign w:val="center"/>
          </w:tcPr>
          <w:p>
            <w:pPr>
              <w:autoSpaceDE w:val="0"/>
              <w:autoSpaceDN w:val="0"/>
              <w:adjustRightInd w:val="0"/>
              <w:spacing w:beforeLines="25" w:afterLines="25" w:line="480" w:lineRule="auto"/>
              <w:ind w:firstLine="1680" w:firstLineChars="700"/>
              <w:jc w:val="left"/>
              <w:rPr>
                <w:kern w:val="0"/>
                <w:sz w:val="24"/>
                <w:szCs w:val="24"/>
              </w:rPr>
            </w:pPr>
          </w:p>
        </w:tc>
        <w:tc>
          <w:tcPr>
            <w:tcW w:w="4268" w:type="dxa"/>
            <w:gridSpan w:val="5"/>
            <w:tcBorders>
              <w:left w:val="single" w:color="auto" w:sz="4" w:space="0"/>
            </w:tcBorders>
            <w:vAlign w:val="center"/>
          </w:tcPr>
          <w:p>
            <w:pPr>
              <w:autoSpaceDE w:val="0"/>
              <w:autoSpaceDN w:val="0"/>
              <w:adjustRightInd w:val="0"/>
              <w:spacing w:beforeLines="25" w:afterLines="25" w:line="480" w:lineRule="auto"/>
              <w:rPr>
                <w:kern w:val="0"/>
                <w:sz w:val="24"/>
                <w:szCs w:val="24"/>
              </w:rPr>
            </w:pPr>
            <w:r>
              <w:rPr>
                <w:kern w:val="0"/>
                <w:sz w:val="24"/>
                <w:szCs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690" w:type="dxa"/>
            <w:vAlign w:val="center"/>
          </w:tcPr>
          <w:p>
            <w:pPr>
              <w:autoSpaceDE w:val="0"/>
              <w:autoSpaceDN w:val="0"/>
              <w:adjustRightInd w:val="0"/>
              <w:spacing w:beforeLines="25" w:afterLines="25" w:line="480" w:lineRule="auto"/>
              <w:rPr>
                <w:kern w:val="0"/>
                <w:sz w:val="24"/>
                <w:szCs w:val="24"/>
              </w:rPr>
            </w:pPr>
            <w:r>
              <w:rPr>
                <w:kern w:val="0"/>
                <w:sz w:val="24"/>
                <w:szCs w:val="24"/>
              </w:rPr>
              <w:t>企业资质等级</w:t>
            </w:r>
          </w:p>
        </w:tc>
        <w:tc>
          <w:tcPr>
            <w:tcW w:w="3158" w:type="dxa"/>
            <w:gridSpan w:val="3"/>
            <w:tcBorders>
              <w:right w:val="single" w:color="auto" w:sz="4" w:space="0"/>
            </w:tcBorders>
            <w:vAlign w:val="center"/>
          </w:tcPr>
          <w:p>
            <w:pPr>
              <w:autoSpaceDE w:val="0"/>
              <w:autoSpaceDN w:val="0"/>
              <w:adjustRightInd w:val="0"/>
              <w:spacing w:beforeLines="25" w:afterLines="25" w:line="480" w:lineRule="auto"/>
              <w:rPr>
                <w:kern w:val="0"/>
                <w:sz w:val="24"/>
                <w:szCs w:val="24"/>
              </w:rPr>
            </w:pPr>
          </w:p>
        </w:tc>
        <w:tc>
          <w:tcPr>
            <w:tcW w:w="911" w:type="dxa"/>
            <w:gridSpan w:val="2"/>
            <w:vMerge w:val="restart"/>
            <w:tcBorders>
              <w:left w:val="single" w:color="auto" w:sz="4" w:space="0"/>
            </w:tcBorders>
            <w:vAlign w:val="center"/>
          </w:tcPr>
          <w:p>
            <w:pPr>
              <w:autoSpaceDE w:val="0"/>
              <w:autoSpaceDN w:val="0"/>
              <w:adjustRightInd w:val="0"/>
              <w:spacing w:beforeLines="25" w:afterLines="25" w:line="480" w:lineRule="auto"/>
              <w:jc w:val="center"/>
              <w:rPr>
                <w:kern w:val="0"/>
                <w:sz w:val="24"/>
                <w:szCs w:val="24"/>
              </w:rPr>
            </w:pPr>
            <w:r>
              <w:rPr>
                <w:kern w:val="0"/>
                <w:sz w:val="24"/>
                <w:szCs w:val="24"/>
              </w:rPr>
              <w:t>其中</w:t>
            </w:r>
          </w:p>
        </w:tc>
        <w:tc>
          <w:tcPr>
            <w:tcW w:w="1902" w:type="dxa"/>
            <w:gridSpan w:val="2"/>
            <w:vAlign w:val="center"/>
          </w:tcPr>
          <w:p>
            <w:pPr>
              <w:autoSpaceDE w:val="0"/>
              <w:autoSpaceDN w:val="0"/>
              <w:adjustRightInd w:val="0"/>
              <w:spacing w:beforeLines="25" w:afterLines="25" w:line="480" w:lineRule="auto"/>
              <w:rPr>
                <w:kern w:val="0"/>
                <w:sz w:val="24"/>
                <w:szCs w:val="24"/>
              </w:rPr>
            </w:pPr>
            <w:r>
              <w:rPr>
                <w:kern w:val="0"/>
                <w:sz w:val="24"/>
                <w:szCs w:val="24"/>
              </w:rPr>
              <w:t>项目经理</w:t>
            </w:r>
          </w:p>
        </w:tc>
        <w:tc>
          <w:tcPr>
            <w:tcW w:w="1455" w:type="dxa"/>
            <w:vAlign w:val="center"/>
          </w:tcPr>
          <w:p>
            <w:pPr>
              <w:autoSpaceDE w:val="0"/>
              <w:autoSpaceDN w:val="0"/>
              <w:adjustRightInd w:val="0"/>
              <w:spacing w:beforeLines="25" w:afterLines="25" w:line="480" w:lineRule="auto"/>
              <w:rPr>
                <w:b/>
                <w:bCs/>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9" w:hRule="atLeast"/>
          <w:jc w:val="center"/>
        </w:trPr>
        <w:tc>
          <w:tcPr>
            <w:tcW w:w="1690" w:type="dxa"/>
            <w:vAlign w:val="center"/>
          </w:tcPr>
          <w:p>
            <w:pPr>
              <w:autoSpaceDE w:val="0"/>
              <w:autoSpaceDN w:val="0"/>
              <w:adjustRightInd w:val="0"/>
              <w:spacing w:beforeLines="25" w:afterLines="25" w:line="480" w:lineRule="auto"/>
              <w:rPr>
                <w:kern w:val="0"/>
                <w:sz w:val="24"/>
                <w:szCs w:val="24"/>
              </w:rPr>
            </w:pPr>
            <w:r>
              <w:rPr>
                <w:bCs/>
                <w:kern w:val="0"/>
                <w:sz w:val="24"/>
                <w:szCs w:val="24"/>
              </w:rPr>
              <w:t>执业许可证</w:t>
            </w:r>
          </w:p>
        </w:tc>
        <w:tc>
          <w:tcPr>
            <w:tcW w:w="3158" w:type="dxa"/>
            <w:gridSpan w:val="3"/>
            <w:tcBorders>
              <w:right w:val="single" w:color="auto" w:sz="4" w:space="0"/>
            </w:tcBorders>
            <w:vAlign w:val="center"/>
          </w:tcPr>
          <w:p>
            <w:pPr>
              <w:autoSpaceDE w:val="0"/>
              <w:autoSpaceDN w:val="0"/>
              <w:adjustRightInd w:val="0"/>
              <w:spacing w:beforeLines="25" w:afterLines="25" w:line="480" w:lineRule="auto"/>
              <w:rPr>
                <w:kern w:val="0"/>
                <w:sz w:val="24"/>
                <w:szCs w:val="24"/>
              </w:rPr>
            </w:pPr>
          </w:p>
        </w:tc>
        <w:tc>
          <w:tcPr>
            <w:tcW w:w="911" w:type="dxa"/>
            <w:gridSpan w:val="2"/>
            <w:vMerge w:val="continue"/>
            <w:tcBorders>
              <w:left w:val="single" w:color="auto" w:sz="4" w:space="0"/>
            </w:tcBorders>
            <w:vAlign w:val="center"/>
          </w:tcPr>
          <w:p>
            <w:pPr>
              <w:autoSpaceDE w:val="0"/>
              <w:autoSpaceDN w:val="0"/>
              <w:adjustRightInd w:val="0"/>
              <w:spacing w:beforeLines="25" w:afterLines="25" w:line="480" w:lineRule="auto"/>
              <w:rPr>
                <w:kern w:val="0"/>
                <w:sz w:val="24"/>
                <w:szCs w:val="24"/>
              </w:rPr>
            </w:pPr>
          </w:p>
        </w:tc>
        <w:tc>
          <w:tcPr>
            <w:tcW w:w="1902" w:type="dxa"/>
            <w:gridSpan w:val="2"/>
            <w:vAlign w:val="center"/>
          </w:tcPr>
          <w:p>
            <w:pPr>
              <w:autoSpaceDE w:val="0"/>
              <w:autoSpaceDN w:val="0"/>
              <w:adjustRightInd w:val="0"/>
              <w:spacing w:beforeLines="25" w:afterLines="25" w:line="480" w:lineRule="auto"/>
              <w:rPr>
                <w:kern w:val="0"/>
                <w:sz w:val="24"/>
                <w:szCs w:val="24"/>
              </w:rPr>
            </w:pPr>
            <w:r>
              <w:rPr>
                <w:kern w:val="0"/>
                <w:sz w:val="24"/>
                <w:szCs w:val="24"/>
              </w:rPr>
              <w:t>高级职称人员</w:t>
            </w:r>
          </w:p>
        </w:tc>
        <w:tc>
          <w:tcPr>
            <w:tcW w:w="1455" w:type="dxa"/>
            <w:vAlign w:val="center"/>
          </w:tcPr>
          <w:p>
            <w:pPr>
              <w:autoSpaceDE w:val="0"/>
              <w:autoSpaceDN w:val="0"/>
              <w:adjustRightInd w:val="0"/>
              <w:spacing w:beforeLines="25" w:afterLines="25" w:line="480" w:lineRule="auto"/>
              <w:rPr>
                <w:b/>
                <w:bCs/>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90" w:type="dxa"/>
            <w:vAlign w:val="center"/>
          </w:tcPr>
          <w:p>
            <w:pPr>
              <w:autoSpaceDE w:val="0"/>
              <w:autoSpaceDN w:val="0"/>
              <w:adjustRightInd w:val="0"/>
              <w:spacing w:beforeLines="25" w:afterLines="25" w:line="480" w:lineRule="auto"/>
              <w:rPr>
                <w:kern w:val="0"/>
                <w:sz w:val="24"/>
                <w:szCs w:val="24"/>
              </w:rPr>
            </w:pPr>
            <w:r>
              <w:rPr>
                <w:kern w:val="0"/>
                <w:sz w:val="24"/>
                <w:szCs w:val="24"/>
              </w:rPr>
              <w:t>注册资金</w:t>
            </w:r>
          </w:p>
        </w:tc>
        <w:tc>
          <w:tcPr>
            <w:tcW w:w="3158" w:type="dxa"/>
            <w:gridSpan w:val="3"/>
            <w:tcBorders>
              <w:right w:val="single" w:color="auto" w:sz="4" w:space="0"/>
            </w:tcBorders>
            <w:vAlign w:val="center"/>
          </w:tcPr>
          <w:p>
            <w:pPr>
              <w:autoSpaceDE w:val="0"/>
              <w:autoSpaceDN w:val="0"/>
              <w:adjustRightInd w:val="0"/>
              <w:spacing w:beforeLines="25" w:afterLines="25" w:line="480" w:lineRule="auto"/>
              <w:rPr>
                <w:kern w:val="0"/>
                <w:sz w:val="24"/>
                <w:szCs w:val="24"/>
              </w:rPr>
            </w:pPr>
          </w:p>
        </w:tc>
        <w:tc>
          <w:tcPr>
            <w:tcW w:w="911" w:type="dxa"/>
            <w:gridSpan w:val="2"/>
            <w:vMerge w:val="continue"/>
            <w:tcBorders>
              <w:left w:val="single" w:color="auto" w:sz="4" w:space="0"/>
            </w:tcBorders>
            <w:vAlign w:val="center"/>
          </w:tcPr>
          <w:p>
            <w:pPr>
              <w:autoSpaceDE w:val="0"/>
              <w:autoSpaceDN w:val="0"/>
              <w:adjustRightInd w:val="0"/>
              <w:spacing w:beforeLines="25" w:afterLines="25" w:line="480" w:lineRule="auto"/>
              <w:rPr>
                <w:kern w:val="0"/>
                <w:sz w:val="24"/>
                <w:szCs w:val="24"/>
              </w:rPr>
            </w:pPr>
          </w:p>
        </w:tc>
        <w:tc>
          <w:tcPr>
            <w:tcW w:w="1902" w:type="dxa"/>
            <w:gridSpan w:val="2"/>
            <w:vAlign w:val="center"/>
          </w:tcPr>
          <w:p>
            <w:pPr>
              <w:autoSpaceDE w:val="0"/>
              <w:autoSpaceDN w:val="0"/>
              <w:adjustRightInd w:val="0"/>
              <w:spacing w:beforeLines="25" w:afterLines="25" w:line="480" w:lineRule="auto"/>
              <w:rPr>
                <w:kern w:val="0"/>
                <w:sz w:val="24"/>
                <w:szCs w:val="24"/>
              </w:rPr>
            </w:pPr>
            <w:r>
              <w:rPr>
                <w:kern w:val="0"/>
                <w:sz w:val="24"/>
                <w:szCs w:val="24"/>
              </w:rPr>
              <w:t>中级职称人员</w:t>
            </w:r>
          </w:p>
        </w:tc>
        <w:tc>
          <w:tcPr>
            <w:tcW w:w="1455" w:type="dxa"/>
            <w:vAlign w:val="center"/>
          </w:tcPr>
          <w:p>
            <w:pPr>
              <w:autoSpaceDE w:val="0"/>
              <w:autoSpaceDN w:val="0"/>
              <w:adjustRightInd w:val="0"/>
              <w:spacing w:beforeLines="25" w:afterLines="25" w:line="480" w:lineRule="auto"/>
              <w:rPr>
                <w:b/>
                <w:bCs/>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690" w:type="dxa"/>
            <w:vAlign w:val="center"/>
          </w:tcPr>
          <w:p>
            <w:pPr>
              <w:autoSpaceDE w:val="0"/>
              <w:autoSpaceDN w:val="0"/>
              <w:adjustRightInd w:val="0"/>
              <w:spacing w:beforeLines="25" w:afterLines="25" w:line="480" w:lineRule="auto"/>
              <w:rPr>
                <w:kern w:val="0"/>
                <w:sz w:val="24"/>
                <w:szCs w:val="24"/>
              </w:rPr>
            </w:pPr>
            <w:r>
              <w:rPr>
                <w:kern w:val="0"/>
                <w:sz w:val="24"/>
                <w:szCs w:val="24"/>
              </w:rPr>
              <w:t>开户银行</w:t>
            </w:r>
          </w:p>
        </w:tc>
        <w:tc>
          <w:tcPr>
            <w:tcW w:w="3158" w:type="dxa"/>
            <w:gridSpan w:val="3"/>
            <w:tcBorders>
              <w:right w:val="single" w:color="auto" w:sz="4" w:space="0"/>
            </w:tcBorders>
            <w:vAlign w:val="center"/>
          </w:tcPr>
          <w:p>
            <w:pPr>
              <w:autoSpaceDE w:val="0"/>
              <w:autoSpaceDN w:val="0"/>
              <w:adjustRightInd w:val="0"/>
              <w:spacing w:beforeLines="25" w:afterLines="25" w:line="480" w:lineRule="auto"/>
              <w:rPr>
                <w:kern w:val="0"/>
                <w:sz w:val="24"/>
                <w:szCs w:val="24"/>
              </w:rPr>
            </w:pPr>
          </w:p>
        </w:tc>
        <w:tc>
          <w:tcPr>
            <w:tcW w:w="911" w:type="dxa"/>
            <w:gridSpan w:val="2"/>
            <w:vMerge w:val="continue"/>
            <w:tcBorders>
              <w:left w:val="single" w:color="auto" w:sz="4" w:space="0"/>
            </w:tcBorders>
            <w:vAlign w:val="center"/>
          </w:tcPr>
          <w:p>
            <w:pPr>
              <w:autoSpaceDE w:val="0"/>
              <w:autoSpaceDN w:val="0"/>
              <w:adjustRightInd w:val="0"/>
              <w:spacing w:beforeLines="25" w:afterLines="25" w:line="480" w:lineRule="auto"/>
              <w:rPr>
                <w:kern w:val="0"/>
                <w:sz w:val="24"/>
                <w:szCs w:val="24"/>
              </w:rPr>
            </w:pPr>
          </w:p>
        </w:tc>
        <w:tc>
          <w:tcPr>
            <w:tcW w:w="1902" w:type="dxa"/>
            <w:gridSpan w:val="2"/>
            <w:vAlign w:val="center"/>
          </w:tcPr>
          <w:p>
            <w:pPr>
              <w:autoSpaceDE w:val="0"/>
              <w:autoSpaceDN w:val="0"/>
              <w:adjustRightInd w:val="0"/>
              <w:spacing w:beforeLines="25" w:afterLines="25" w:line="480" w:lineRule="auto"/>
              <w:rPr>
                <w:kern w:val="0"/>
                <w:sz w:val="24"/>
                <w:szCs w:val="24"/>
              </w:rPr>
            </w:pPr>
            <w:r>
              <w:rPr>
                <w:kern w:val="0"/>
                <w:sz w:val="24"/>
                <w:szCs w:val="24"/>
              </w:rPr>
              <w:t>初级职称人员</w:t>
            </w:r>
          </w:p>
        </w:tc>
        <w:tc>
          <w:tcPr>
            <w:tcW w:w="1455" w:type="dxa"/>
            <w:vAlign w:val="center"/>
          </w:tcPr>
          <w:p>
            <w:pPr>
              <w:autoSpaceDE w:val="0"/>
              <w:autoSpaceDN w:val="0"/>
              <w:adjustRightInd w:val="0"/>
              <w:spacing w:beforeLines="25" w:afterLines="25" w:line="480" w:lineRule="auto"/>
              <w:rPr>
                <w:b/>
                <w:bCs/>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90" w:type="dxa"/>
            <w:vAlign w:val="center"/>
          </w:tcPr>
          <w:p>
            <w:pPr>
              <w:autoSpaceDE w:val="0"/>
              <w:autoSpaceDN w:val="0"/>
              <w:adjustRightInd w:val="0"/>
              <w:spacing w:beforeLines="25" w:afterLines="25" w:line="480" w:lineRule="auto"/>
              <w:rPr>
                <w:kern w:val="0"/>
                <w:sz w:val="24"/>
                <w:szCs w:val="24"/>
              </w:rPr>
            </w:pPr>
            <w:r>
              <w:rPr>
                <w:kern w:val="0"/>
                <w:sz w:val="24"/>
                <w:szCs w:val="24"/>
              </w:rPr>
              <w:t>账号</w:t>
            </w:r>
          </w:p>
        </w:tc>
        <w:tc>
          <w:tcPr>
            <w:tcW w:w="3158" w:type="dxa"/>
            <w:gridSpan w:val="3"/>
            <w:tcBorders>
              <w:right w:val="single" w:color="auto" w:sz="4" w:space="0"/>
            </w:tcBorders>
            <w:vAlign w:val="center"/>
          </w:tcPr>
          <w:p>
            <w:pPr>
              <w:autoSpaceDE w:val="0"/>
              <w:autoSpaceDN w:val="0"/>
              <w:adjustRightInd w:val="0"/>
              <w:spacing w:beforeLines="25" w:afterLines="25" w:line="480" w:lineRule="auto"/>
              <w:rPr>
                <w:kern w:val="0"/>
                <w:sz w:val="24"/>
                <w:szCs w:val="24"/>
              </w:rPr>
            </w:pPr>
          </w:p>
        </w:tc>
        <w:tc>
          <w:tcPr>
            <w:tcW w:w="911" w:type="dxa"/>
            <w:gridSpan w:val="2"/>
            <w:vMerge w:val="continue"/>
            <w:tcBorders>
              <w:left w:val="single" w:color="auto" w:sz="4" w:space="0"/>
            </w:tcBorders>
            <w:vAlign w:val="center"/>
          </w:tcPr>
          <w:p>
            <w:pPr>
              <w:autoSpaceDE w:val="0"/>
              <w:autoSpaceDN w:val="0"/>
              <w:adjustRightInd w:val="0"/>
              <w:spacing w:beforeLines="25" w:afterLines="25" w:line="480" w:lineRule="auto"/>
              <w:rPr>
                <w:kern w:val="0"/>
                <w:sz w:val="24"/>
                <w:szCs w:val="24"/>
              </w:rPr>
            </w:pPr>
          </w:p>
        </w:tc>
        <w:tc>
          <w:tcPr>
            <w:tcW w:w="1902" w:type="dxa"/>
            <w:gridSpan w:val="2"/>
            <w:vAlign w:val="center"/>
          </w:tcPr>
          <w:p>
            <w:pPr>
              <w:autoSpaceDE w:val="0"/>
              <w:autoSpaceDN w:val="0"/>
              <w:adjustRightInd w:val="0"/>
              <w:spacing w:beforeLines="25" w:afterLines="25" w:line="480" w:lineRule="auto"/>
              <w:rPr>
                <w:kern w:val="0"/>
                <w:sz w:val="24"/>
                <w:szCs w:val="24"/>
              </w:rPr>
            </w:pPr>
            <w:r>
              <w:rPr>
                <w:kern w:val="0"/>
                <w:sz w:val="24"/>
                <w:szCs w:val="24"/>
              </w:rPr>
              <w:t>普通职工</w:t>
            </w:r>
          </w:p>
        </w:tc>
        <w:tc>
          <w:tcPr>
            <w:tcW w:w="1455" w:type="dxa"/>
            <w:vAlign w:val="center"/>
          </w:tcPr>
          <w:p>
            <w:pPr>
              <w:autoSpaceDE w:val="0"/>
              <w:autoSpaceDN w:val="0"/>
              <w:adjustRightInd w:val="0"/>
              <w:spacing w:beforeLines="25" w:afterLines="25" w:line="480" w:lineRule="auto"/>
              <w:rPr>
                <w:b/>
                <w:bCs/>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54" w:hRule="atLeast"/>
          <w:jc w:val="center"/>
        </w:trPr>
        <w:tc>
          <w:tcPr>
            <w:tcW w:w="1690" w:type="dxa"/>
            <w:vAlign w:val="center"/>
          </w:tcPr>
          <w:p>
            <w:pPr>
              <w:autoSpaceDE w:val="0"/>
              <w:autoSpaceDN w:val="0"/>
              <w:adjustRightInd w:val="0"/>
              <w:spacing w:beforeLines="25" w:afterLines="25" w:line="480" w:lineRule="auto"/>
              <w:rPr>
                <w:kern w:val="0"/>
                <w:sz w:val="24"/>
                <w:szCs w:val="24"/>
              </w:rPr>
            </w:pPr>
            <w:r>
              <w:rPr>
                <w:kern w:val="0"/>
                <w:sz w:val="24"/>
                <w:szCs w:val="24"/>
              </w:rPr>
              <w:t>经营范围</w:t>
            </w:r>
          </w:p>
        </w:tc>
        <w:tc>
          <w:tcPr>
            <w:tcW w:w="7426" w:type="dxa"/>
            <w:gridSpan w:val="8"/>
            <w:vAlign w:val="center"/>
          </w:tcPr>
          <w:p>
            <w:pPr>
              <w:autoSpaceDE w:val="0"/>
              <w:autoSpaceDN w:val="0"/>
              <w:adjustRightInd w:val="0"/>
              <w:spacing w:beforeLines="25" w:afterLines="25" w:line="480" w:lineRule="auto"/>
              <w:rPr>
                <w:b/>
                <w:bCs/>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38" w:hRule="atLeast"/>
          <w:jc w:val="center"/>
        </w:trPr>
        <w:tc>
          <w:tcPr>
            <w:tcW w:w="1690" w:type="dxa"/>
          </w:tcPr>
          <w:p>
            <w:pPr>
              <w:autoSpaceDE w:val="0"/>
              <w:autoSpaceDN w:val="0"/>
              <w:adjustRightInd w:val="0"/>
              <w:spacing w:beforeLines="25" w:afterLines="25" w:line="480" w:lineRule="auto"/>
              <w:rPr>
                <w:kern w:val="0"/>
                <w:sz w:val="24"/>
                <w:szCs w:val="24"/>
              </w:rPr>
            </w:pPr>
            <w:r>
              <w:rPr>
                <w:kern w:val="0"/>
                <w:sz w:val="24"/>
                <w:szCs w:val="24"/>
              </w:rPr>
              <w:t>备注</w:t>
            </w:r>
          </w:p>
        </w:tc>
        <w:tc>
          <w:tcPr>
            <w:tcW w:w="7426" w:type="dxa"/>
            <w:gridSpan w:val="8"/>
          </w:tcPr>
          <w:p>
            <w:pPr>
              <w:autoSpaceDE w:val="0"/>
              <w:autoSpaceDN w:val="0"/>
              <w:adjustRightInd w:val="0"/>
              <w:spacing w:beforeLines="25" w:afterLines="25" w:line="480" w:lineRule="auto"/>
              <w:rPr>
                <w:kern w:val="0"/>
                <w:sz w:val="24"/>
                <w:szCs w:val="24"/>
              </w:rPr>
            </w:pPr>
          </w:p>
        </w:tc>
      </w:tr>
    </w:tbl>
    <w:p>
      <w:bookmarkStart w:id="33" w:name="_Toc17411"/>
    </w:p>
    <w:p>
      <w:pPr>
        <w:pStyle w:val="3"/>
        <w:ind w:left="0" w:leftChars="0" w:firstLine="0" w:firstLineChars="0"/>
        <w:jc w:val="both"/>
        <w:rPr>
          <w:rFonts w:ascii="Times New Roman" w:hAnsi="Times New Roman" w:eastAsia="宋体"/>
          <w:sz w:val="28"/>
          <w:szCs w:val="28"/>
        </w:rPr>
      </w:pPr>
      <w:r>
        <w:rPr>
          <w:rFonts w:ascii="Times New Roman" w:hAnsi="Times New Roman" w:eastAsia="宋体"/>
          <w:sz w:val="28"/>
          <w:szCs w:val="28"/>
        </w:rPr>
        <w:br w:type="page"/>
      </w:r>
      <w:bookmarkStart w:id="34" w:name="_Toc513642589"/>
      <w:bookmarkStart w:id="35" w:name="_Toc14850"/>
      <w:r>
        <w:rPr>
          <w:rStyle w:val="22"/>
          <w:rFonts w:ascii="Times New Roman" w:hAnsi="Times New Roman" w:eastAsia="宋体"/>
          <w:b/>
          <w:bCs/>
          <w:sz w:val="28"/>
          <w:szCs w:val="28"/>
        </w:rPr>
        <w:t>7、</w:t>
      </w:r>
      <w:r>
        <w:rPr>
          <w:rStyle w:val="22"/>
          <w:rFonts w:hint="eastAsia" w:ascii="Times New Roman" w:hAnsi="Times New Roman" w:eastAsia="宋体"/>
          <w:b/>
          <w:bCs/>
          <w:sz w:val="28"/>
          <w:szCs w:val="28"/>
          <w:lang w:val="en-US" w:eastAsia="zh-CN"/>
        </w:rPr>
        <w:t>磋商</w:t>
      </w:r>
      <w:r>
        <w:rPr>
          <w:rStyle w:val="22"/>
          <w:rFonts w:ascii="Times New Roman" w:hAnsi="Times New Roman" w:eastAsia="宋体"/>
          <w:b/>
          <w:bCs/>
          <w:sz w:val="28"/>
          <w:szCs w:val="28"/>
        </w:rPr>
        <w:t>保证金</w:t>
      </w:r>
      <w:bookmarkEnd w:id="34"/>
      <w:bookmarkEnd w:id="35"/>
    </w:p>
    <w:p>
      <w:pPr>
        <w:ind w:firstLine="440" w:firstLineChars="200"/>
      </w:pPr>
    </w:p>
    <w:p>
      <w:pPr>
        <w:ind w:firstLine="480" w:firstLineChars="200"/>
        <w:rPr>
          <w:sz w:val="24"/>
          <w:szCs w:val="24"/>
        </w:rPr>
      </w:pPr>
      <w:r>
        <w:rPr>
          <w:sz w:val="24"/>
          <w:szCs w:val="24"/>
        </w:rPr>
        <w:t>1、附银行转账凭证或银行转账证明材料复印件加盖公章。</w:t>
      </w:r>
    </w:p>
    <w:p>
      <w:pPr>
        <w:ind w:firstLine="480" w:firstLineChars="200"/>
        <w:rPr>
          <w:sz w:val="24"/>
          <w:szCs w:val="24"/>
        </w:rPr>
      </w:pPr>
    </w:p>
    <w:p>
      <w:pPr>
        <w:ind w:firstLine="480" w:firstLineChars="200"/>
        <w:rPr>
          <w:sz w:val="24"/>
          <w:szCs w:val="24"/>
        </w:rPr>
      </w:pPr>
      <w:r>
        <w:rPr>
          <w:sz w:val="24"/>
          <w:szCs w:val="24"/>
        </w:rPr>
        <w:t>2、附基本账户许可证或相关开户证明</w:t>
      </w:r>
      <w:r>
        <w:rPr>
          <w:rFonts w:hint="eastAsia"/>
          <w:sz w:val="24"/>
          <w:szCs w:val="24"/>
        </w:rPr>
        <w:t>材料</w:t>
      </w:r>
      <w:r>
        <w:rPr>
          <w:sz w:val="24"/>
          <w:szCs w:val="24"/>
        </w:rPr>
        <w:t>复印件加盖公章。</w:t>
      </w:r>
    </w:p>
    <w:p>
      <w:pPr>
        <w:bidi w:val="0"/>
        <w:jc w:val="center"/>
        <w:rPr>
          <w:rFonts w:ascii="Times New Roman" w:hAnsi="Times New Roman" w:eastAsia="宋体"/>
          <w:sz w:val="28"/>
          <w:szCs w:val="28"/>
        </w:rPr>
      </w:pPr>
      <w:r>
        <w:rPr>
          <w:rFonts w:ascii="Times New Roman" w:hAnsi="Times New Roman" w:eastAsia="宋体"/>
        </w:rPr>
        <w:br w:type="page"/>
      </w:r>
      <w:bookmarkStart w:id="36" w:name="_Toc25863"/>
      <w:bookmarkStart w:id="37" w:name="_Toc513642590"/>
      <w:r>
        <w:rPr>
          <w:rStyle w:val="22"/>
          <w:rFonts w:ascii="Times New Roman" w:hAnsi="Times New Roman" w:eastAsia="宋体"/>
          <w:b/>
          <w:bCs/>
          <w:sz w:val="28"/>
          <w:szCs w:val="28"/>
        </w:rPr>
        <w:t>8、无重大违法记录的书面声明</w:t>
      </w:r>
      <w:bookmarkEnd w:id="33"/>
      <w:bookmarkEnd w:id="36"/>
      <w:bookmarkEnd w:id="37"/>
    </w:p>
    <w:p>
      <w:pPr>
        <w:spacing w:before="240" w:line="480" w:lineRule="auto"/>
        <w:rPr>
          <w:sz w:val="24"/>
          <w:szCs w:val="24"/>
          <w:u w:val="single"/>
        </w:rPr>
      </w:pPr>
      <w:r>
        <w:rPr>
          <w:sz w:val="24"/>
          <w:szCs w:val="24"/>
        </w:rPr>
        <w:t>致</w:t>
      </w:r>
      <w:r>
        <w:rPr>
          <w:sz w:val="24"/>
          <w:szCs w:val="24"/>
          <w:u w:val="single"/>
        </w:rPr>
        <w:t xml:space="preserve">：                         </w:t>
      </w:r>
      <w:r>
        <w:rPr>
          <w:sz w:val="24"/>
          <w:szCs w:val="24"/>
        </w:rPr>
        <w:t>（采购人名称）</w:t>
      </w:r>
    </w:p>
    <w:p>
      <w:pPr>
        <w:spacing w:before="240" w:line="480" w:lineRule="auto"/>
        <w:ind w:firstLine="480" w:firstLineChars="200"/>
        <w:rPr>
          <w:sz w:val="24"/>
          <w:szCs w:val="24"/>
        </w:rPr>
      </w:pPr>
      <w:r>
        <w:rPr>
          <w:sz w:val="24"/>
          <w:szCs w:val="24"/>
        </w:rPr>
        <w:t>我公司参加政府采购活动前3年内在经营活动中没有重大违法记录，特此声明。</w:t>
      </w:r>
    </w:p>
    <w:p>
      <w:pPr>
        <w:spacing w:before="240" w:line="480" w:lineRule="auto"/>
        <w:ind w:firstLine="480" w:firstLineChars="200"/>
        <w:rPr>
          <w:sz w:val="24"/>
          <w:szCs w:val="24"/>
        </w:rPr>
      </w:pPr>
      <w:r>
        <w:rPr>
          <w:sz w:val="24"/>
          <w:szCs w:val="24"/>
        </w:rPr>
        <w:t>若在采购过程中发现我公司近3年内在经营活动中有重大违法记录的，我公司将承担因此引起的一切后果。</w:t>
      </w:r>
    </w:p>
    <w:p>
      <w:pPr>
        <w:adjustRightInd w:val="0"/>
        <w:spacing w:before="240" w:line="480" w:lineRule="auto"/>
        <w:ind w:firstLine="440" w:firstLineChars="200"/>
        <w:rPr>
          <w:szCs w:val="21"/>
        </w:rPr>
      </w:pPr>
    </w:p>
    <w:p>
      <w:pPr>
        <w:adjustRightInd w:val="0"/>
        <w:spacing w:before="240" w:line="480" w:lineRule="auto"/>
        <w:ind w:firstLine="440" w:firstLineChars="200"/>
        <w:rPr>
          <w:szCs w:val="21"/>
        </w:rPr>
      </w:pPr>
    </w:p>
    <w:p>
      <w:pPr>
        <w:adjustRightInd w:val="0"/>
        <w:spacing w:before="240" w:line="480" w:lineRule="auto"/>
        <w:ind w:firstLine="440" w:firstLineChars="200"/>
        <w:rPr>
          <w:szCs w:val="21"/>
        </w:rPr>
      </w:pPr>
    </w:p>
    <w:p>
      <w:pPr>
        <w:adjustRightInd w:val="0"/>
        <w:spacing w:before="240" w:line="480" w:lineRule="auto"/>
        <w:ind w:firstLine="440" w:firstLineChars="200"/>
        <w:rPr>
          <w:szCs w:val="21"/>
        </w:rPr>
      </w:pPr>
    </w:p>
    <w:p>
      <w:pPr>
        <w:adjustRightInd w:val="0"/>
        <w:spacing w:before="240" w:line="480" w:lineRule="auto"/>
        <w:ind w:firstLine="440" w:firstLineChars="200"/>
        <w:rPr>
          <w:szCs w:val="21"/>
        </w:rPr>
      </w:pPr>
    </w:p>
    <w:p>
      <w:pPr>
        <w:adjustRightInd w:val="0"/>
        <w:spacing w:before="240" w:line="480" w:lineRule="auto"/>
        <w:ind w:firstLine="440" w:firstLineChars="200"/>
        <w:rPr>
          <w:szCs w:val="21"/>
        </w:rPr>
      </w:pPr>
    </w:p>
    <w:p>
      <w:pPr>
        <w:adjustRightInd w:val="0"/>
        <w:spacing w:before="240" w:line="480" w:lineRule="auto"/>
        <w:ind w:firstLine="2400" w:firstLineChars="1000"/>
        <w:rPr>
          <w:bCs/>
          <w:sz w:val="24"/>
          <w:szCs w:val="24"/>
        </w:rPr>
      </w:pPr>
      <w:r>
        <w:rPr>
          <w:sz w:val="24"/>
          <w:szCs w:val="24"/>
        </w:rPr>
        <w:t>供应商名称（公章）：</w:t>
      </w:r>
    </w:p>
    <w:p>
      <w:pPr>
        <w:adjustRightInd w:val="0"/>
        <w:spacing w:before="240" w:line="480" w:lineRule="auto"/>
        <w:rPr>
          <w:bCs/>
          <w:sz w:val="24"/>
          <w:szCs w:val="24"/>
        </w:rPr>
      </w:pPr>
      <w:r>
        <w:rPr>
          <w:sz w:val="24"/>
          <w:szCs w:val="24"/>
        </w:rPr>
        <w:t xml:space="preserve">                   法定代表人或其委托代理人</w:t>
      </w:r>
      <w:r>
        <w:rPr>
          <w:bCs/>
          <w:sz w:val="24"/>
          <w:szCs w:val="24"/>
          <w:u w:val="single"/>
        </w:rPr>
        <w:t xml:space="preserve">：                 </w:t>
      </w:r>
      <w:r>
        <w:rPr>
          <w:iCs/>
          <w:sz w:val="24"/>
          <w:szCs w:val="24"/>
        </w:rPr>
        <w:t>（签字或盖章）</w:t>
      </w:r>
    </w:p>
    <w:p>
      <w:pPr>
        <w:adjustRightInd w:val="0"/>
        <w:spacing w:before="240" w:line="480" w:lineRule="auto"/>
        <w:rPr>
          <w:bCs/>
          <w:szCs w:val="21"/>
        </w:rPr>
      </w:pPr>
      <w:r>
        <w:rPr>
          <w:bCs/>
          <w:szCs w:val="21"/>
        </w:rPr>
        <w:t xml:space="preserve">                                    日期：   年   月   日</w:t>
      </w:r>
      <w:bookmarkStart w:id="38" w:name="_Toc30314"/>
      <w:bookmarkStart w:id="39" w:name="_Toc212102898"/>
      <w:bookmarkStart w:id="40" w:name="_Toc317237642"/>
    </w:p>
    <w:p>
      <w:pPr>
        <w:pStyle w:val="3"/>
        <w:ind w:left="0" w:leftChars="0" w:firstLine="0" w:firstLineChars="0"/>
        <w:jc w:val="center"/>
        <w:rPr>
          <w:rFonts w:ascii="Times New Roman" w:hAnsi="Times New Roman" w:eastAsia="宋体"/>
          <w:sz w:val="28"/>
          <w:szCs w:val="28"/>
        </w:rPr>
      </w:pPr>
      <w:r>
        <w:rPr>
          <w:rFonts w:ascii="Times New Roman" w:hAnsi="Times New Roman" w:eastAsia="宋体"/>
          <w:szCs w:val="21"/>
        </w:rPr>
        <w:br w:type="page"/>
      </w:r>
      <w:bookmarkStart w:id="41" w:name="_Toc513642591"/>
      <w:bookmarkStart w:id="42" w:name="_Toc30924"/>
      <w:r>
        <w:rPr>
          <w:rStyle w:val="22"/>
          <w:rFonts w:ascii="Times New Roman" w:hAnsi="Times New Roman" w:eastAsia="宋体"/>
          <w:b/>
          <w:bCs/>
          <w:sz w:val="28"/>
          <w:szCs w:val="28"/>
        </w:rPr>
        <w:t>9、信用查询记录</w:t>
      </w:r>
      <w:bookmarkEnd w:id="41"/>
      <w:bookmarkEnd w:id="42"/>
    </w:p>
    <w:p>
      <w:pPr>
        <w:spacing w:line="360" w:lineRule="auto"/>
        <w:ind w:firstLine="480" w:firstLineChars="200"/>
        <w:rPr>
          <w:bCs/>
          <w:sz w:val="24"/>
        </w:rPr>
      </w:pPr>
      <w:r>
        <w:rPr>
          <w:bCs/>
          <w:sz w:val="24"/>
        </w:rPr>
        <w:t>根据财库（2016）7017/4/17125号文的规定，各供应商需通过“信用中国”网站（http://www.creditchina.gov.cn/）与中国政府采购网（http://www.ccgp.gov.cn/）查询信用记录，并打印网站查询结果的截图：</w:t>
      </w:r>
    </w:p>
    <w:p/>
    <w:p/>
    <w:p>
      <w:pPr>
        <w:jc w:val="left"/>
        <w:rPr>
          <w:bCs/>
          <w:sz w:val="24"/>
        </w:rPr>
      </w:pPr>
      <w:r>
        <w:rPr>
          <w:bCs/>
          <w:sz w:val="24"/>
        </w:rPr>
        <w:t xml:space="preserve">                           供应商名称（公章）：                                                </w:t>
      </w:r>
    </w:p>
    <w:p>
      <w:pPr>
        <w:jc w:val="left"/>
        <w:rPr>
          <w:bCs/>
          <w:sz w:val="24"/>
        </w:rPr>
      </w:pPr>
      <w:r>
        <w:rPr>
          <w:bCs/>
          <w:sz w:val="24"/>
        </w:rPr>
        <w:t xml:space="preserve">                  法定代表或其委托代理人：（签字或盖章）</w:t>
      </w:r>
    </w:p>
    <w:p>
      <w:pPr>
        <w:jc w:val="right"/>
        <w:rPr>
          <w:bCs/>
          <w:sz w:val="24"/>
        </w:rPr>
      </w:pPr>
    </w:p>
    <w:p>
      <w:pPr>
        <w:adjustRightInd w:val="0"/>
        <w:spacing w:before="240" w:line="480" w:lineRule="auto"/>
        <w:rPr>
          <w:sz w:val="24"/>
        </w:rPr>
      </w:pPr>
      <w:r>
        <w:rPr>
          <w:bCs/>
          <w:sz w:val="24"/>
        </w:rPr>
        <w:t xml:space="preserve">           日期：  年  月  日 </w:t>
      </w:r>
    </w:p>
    <w:p>
      <w:pPr>
        <w:pStyle w:val="2"/>
        <w:bidi w:val="0"/>
        <w:rPr>
          <w:rFonts w:ascii="Times New Roman" w:hAnsi="Times New Roman" w:eastAsia="宋体"/>
          <w:sz w:val="24"/>
          <w:szCs w:val="24"/>
        </w:rPr>
      </w:pPr>
      <w:r>
        <w:rPr>
          <w:rFonts w:ascii="Times New Roman" w:hAnsi="Times New Roman" w:eastAsia="宋体"/>
          <w:sz w:val="24"/>
          <w:szCs w:val="24"/>
        </w:rPr>
        <w:br w:type="page"/>
      </w:r>
      <w:bookmarkStart w:id="43" w:name="_Toc513642592"/>
      <w:bookmarkStart w:id="44" w:name="_Toc24884"/>
      <w:r>
        <w:rPr>
          <w:rFonts w:ascii="Times New Roman" w:hAnsi="Times New Roman" w:eastAsia="宋体"/>
          <w:sz w:val="28"/>
          <w:szCs w:val="28"/>
        </w:rPr>
        <w:t>10、反商业贿赂承诺书</w:t>
      </w:r>
      <w:bookmarkEnd w:id="38"/>
      <w:bookmarkEnd w:id="39"/>
      <w:bookmarkEnd w:id="40"/>
      <w:bookmarkEnd w:id="43"/>
      <w:bookmarkEnd w:id="44"/>
    </w:p>
    <w:p>
      <w:pPr>
        <w:spacing w:before="240" w:line="480" w:lineRule="auto"/>
        <w:jc w:val="left"/>
        <w:rPr>
          <w:b/>
          <w:sz w:val="24"/>
          <w:szCs w:val="24"/>
        </w:rPr>
      </w:pPr>
      <w:r>
        <w:rPr>
          <w:b/>
          <w:sz w:val="24"/>
          <w:szCs w:val="24"/>
        </w:rPr>
        <w:t>我公司郑重承诺：</w:t>
      </w:r>
    </w:p>
    <w:p>
      <w:pPr>
        <w:spacing w:before="240" w:line="480" w:lineRule="auto"/>
        <w:ind w:firstLine="480"/>
        <w:rPr>
          <w:sz w:val="24"/>
          <w:szCs w:val="24"/>
        </w:rPr>
      </w:pPr>
      <w:r>
        <w:rPr>
          <w:sz w:val="24"/>
          <w:szCs w:val="24"/>
        </w:rPr>
        <w:t>在</w:t>
      </w:r>
      <w:r>
        <w:rPr>
          <w:iCs/>
          <w:sz w:val="24"/>
          <w:szCs w:val="24"/>
          <w:u w:val="single"/>
        </w:rPr>
        <w:t xml:space="preserve">      项目（项目编号            ）</w:t>
      </w:r>
      <w:r>
        <w:rPr>
          <w:sz w:val="24"/>
          <w:szCs w:val="24"/>
        </w:rPr>
        <w:t>磋商活动中，我公司保证做到：</w:t>
      </w:r>
    </w:p>
    <w:p>
      <w:pPr>
        <w:spacing w:before="240" w:line="480" w:lineRule="auto"/>
        <w:ind w:firstLine="480"/>
        <w:rPr>
          <w:sz w:val="24"/>
          <w:szCs w:val="24"/>
        </w:rPr>
      </w:pPr>
      <w:r>
        <w:rPr>
          <w:sz w:val="24"/>
          <w:szCs w:val="24"/>
        </w:rPr>
        <w:t>一、公平竞争参加本次磋商活动。</w:t>
      </w:r>
    </w:p>
    <w:p>
      <w:pPr>
        <w:spacing w:before="240" w:line="480" w:lineRule="auto"/>
        <w:ind w:firstLine="480"/>
        <w:rPr>
          <w:sz w:val="24"/>
          <w:szCs w:val="24"/>
        </w:rPr>
      </w:pPr>
      <w:r>
        <w:rPr>
          <w:sz w:val="24"/>
          <w:szCs w:val="24"/>
        </w:rPr>
        <w:t>二、杜绝任何形式的商业贿赂行为。不向国家工作人员、政府招标采购代理机构工作人员、评审专家及其亲属提供礼品礼金、有价证券、购物券、回扣、佣金、咨询费、劳务费、赞助费、宣传费和宴请等；不为其报销各种消费凭证，不支付其旅游、娱乐等费用。</w:t>
      </w:r>
    </w:p>
    <w:p>
      <w:pPr>
        <w:spacing w:before="240" w:line="480" w:lineRule="auto"/>
        <w:ind w:firstLine="480"/>
        <w:rPr>
          <w:sz w:val="24"/>
          <w:szCs w:val="24"/>
        </w:rPr>
      </w:pPr>
      <w:r>
        <w:rPr>
          <w:sz w:val="24"/>
          <w:szCs w:val="24"/>
        </w:rPr>
        <w:t>三、若出现上述行为，我公司及参与投标的工作人员愿意接受按照国家法律法规等有关规定给予的处罚。</w:t>
      </w:r>
    </w:p>
    <w:p>
      <w:pPr>
        <w:spacing w:before="240" w:line="480" w:lineRule="auto"/>
        <w:rPr>
          <w:sz w:val="24"/>
          <w:szCs w:val="24"/>
        </w:rPr>
      </w:pPr>
    </w:p>
    <w:p>
      <w:pPr>
        <w:spacing w:before="240" w:line="480" w:lineRule="auto"/>
        <w:ind w:firstLine="4320" w:firstLineChars="1800"/>
        <w:rPr>
          <w:sz w:val="24"/>
          <w:szCs w:val="24"/>
        </w:rPr>
      </w:pPr>
      <w:r>
        <w:rPr>
          <w:sz w:val="24"/>
          <w:szCs w:val="24"/>
        </w:rPr>
        <w:t>法定代表人：</w:t>
      </w:r>
      <w:r>
        <w:rPr>
          <w:iCs/>
          <w:sz w:val="24"/>
          <w:szCs w:val="24"/>
        </w:rPr>
        <w:t>（签字或盖章）</w:t>
      </w:r>
    </w:p>
    <w:p>
      <w:pPr>
        <w:spacing w:before="240" w:line="480" w:lineRule="auto"/>
        <w:ind w:firstLine="4320" w:firstLineChars="1800"/>
        <w:rPr>
          <w:sz w:val="24"/>
          <w:szCs w:val="24"/>
        </w:rPr>
      </w:pPr>
      <w:r>
        <w:rPr>
          <w:sz w:val="24"/>
          <w:szCs w:val="24"/>
        </w:rPr>
        <w:t>法人授权代表：</w:t>
      </w:r>
      <w:r>
        <w:rPr>
          <w:iCs/>
          <w:sz w:val="24"/>
          <w:szCs w:val="24"/>
        </w:rPr>
        <w:t>（签字或盖章）</w:t>
      </w:r>
    </w:p>
    <w:p>
      <w:pPr>
        <w:spacing w:before="240" w:line="480" w:lineRule="auto"/>
        <w:ind w:firstLine="4320" w:firstLineChars="1800"/>
        <w:rPr>
          <w:iCs/>
          <w:sz w:val="24"/>
          <w:szCs w:val="24"/>
          <w:u w:val="single"/>
        </w:rPr>
      </w:pPr>
      <w:r>
        <w:rPr>
          <w:sz w:val="24"/>
          <w:szCs w:val="24"/>
        </w:rPr>
        <w:t>供应商名称（公章）：</w:t>
      </w:r>
    </w:p>
    <w:p>
      <w:pPr>
        <w:spacing w:before="240" w:line="480" w:lineRule="auto"/>
        <w:ind w:firstLine="2400" w:firstLineChars="1000"/>
        <w:jc w:val="center"/>
        <w:rPr>
          <w:sz w:val="24"/>
          <w:szCs w:val="24"/>
        </w:rPr>
      </w:pPr>
    </w:p>
    <w:p>
      <w:pPr>
        <w:spacing w:before="240" w:line="480" w:lineRule="auto"/>
        <w:ind w:firstLine="4320" w:firstLineChars="1800"/>
        <w:rPr>
          <w:sz w:val="24"/>
          <w:szCs w:val="24"/>
        </w:rPr>
      </w:pPr>
      <w:r>
        <w:rPr>
          <w:sz w:val="24"/>
          <w:szCs w:val="24"/>
        </w:rPr>
        <w:t>日期       年    月    日</w:t>
      </w:r>
      <w:bookmarkStart w:id="45" w:name="_Toc13515"/>
      <w:bookmarkStart w:id="46" w:name="_Toc22083"/>
      <w:bookmarkStart w:id="47" w:name="_Toc513642593"/>
    </w:p>
    <w:p>
      <w:pPr>
        <w:spacing w:before="240" w:line="480" w:lineRule="auto"/>
        <w:rPr>
          <w:szCs w:val="21"/>
        </w:rPr>
      </w:pPr>
    </w:p>
    <w:p>
      <w:pPr>
        <w:pStyle w:val="2"/>
        <w:bidi w:val="0"/>
        <w:rPr>
          <w:rFonts w:ascii="Times New Roman" w:hAnsi="Times New Roman" w:eastAsia="宋体"/>
          <w:sz w:val="28"/>
          <w:szCs w:val="28"/>
        </w:rPr>
      </w:pPr>
    </w:p>
    <w:p>
      <w:pPr>
        <w:pStyle w:val="2"/>
        <w:bidi w:val="0"/>
        <w:rPr>
          <w:rFonts w:ascii="Times New Roman" w:hAnsi="Times New Roman" w:eastAsia="宋体"/>
          <w:sz w:val="28"/>
          <w:szCs w:val="28"/>
        </w:rPr>
      </w:pPr>
      <w:r>
        <w:rPr>
          <w:rFonts w:ascii="Times New Roman" w:hAnsi="Times New Roman" w:eastAsia="宋体"/>
          <w:sz w:val="28"/>
          <w:szCs w:val="28"/>
        </w:rPr>
        <w:t>11、诚信投标、诚信履约承诺书</w:t>
      </w:r>
      <w:bookmarkEnd w:id="45"/>
      <w:bookmarkEnd w:id="46"/>
      <w:bookmarkEnd w:id="47"/>
    </w:p>
    <w:p>
      <w:pPr>
        <w:snapToGrid w:val="0"/>
        <w:spacing w:before="240" w:line="480" w:lineRule="auto"/>
        <w:rPr>
          <w:szCs w:val="21"/>
        </w:rPr>
      </w:pPr>
      <w:r>
        <w:rPr>
          <w:szCs w:val="21"/>
        </w:rPr>
        <w:t>我方就本次磋商活动向贵方郑重承诺：</w:t>
      </w:r>
    </w:p>
    <w:p>
      <w:pPr>
        <w:snapToGrid w:val="0"/>
        <w:spacing w:before="240" w:line="480" w:lineRule="auto"/>
        <w:ind w:firstLine="440" w:firstLineChars="200"/>
        <w:rPr>
          <w:szCs w:val="21"/>
        </w:rPr>
      </w:pPr>
      <w:r>
        <w:rPr>
          <w:szCs w:val="21"/>
        </w:rPr>
        <w:t>一、我们已经充分理解了磋商文件规定的所有要求、中标条件和合同条款，没有任何异议。</w:t>
      </w:r>
    </w:p>
    <w:p>
      <w:pPr>
        <w:snapToGrid w:val="0"/>
        <w:spacing w:before="240" w:line="480" w:lineRule="auto"/>
        <w:ind w:firstLine="440" w:firstLineChars="200"/>
        <w:rPr>
          <w:szCs w:val="21"/>
        </w:rPr>
      </w:pPr>
      <w:r>
        <w:rPr>
          <w:szCs w:val="21"/>
        </w:rPr>
        <w:t>二、我们在响应文件中提交的所有商务文件和资格证明文件都是真实有效的；我们做出的所有技术响应都是真实可信、可以实现、并经得起验收检验的。我们保证所有的投标响应在投标有效期内不发生任何变更。</w:t>
      </w:r>
    </w:p>
    <w:p>
      <w:pPr>
        <w:snapToGrid w:val="0"/>
        <w:spacing w:before="240" w:line="480" w:lineRule="auto"/>
        <w:ind w:firstLine="440" w:firstLineChars="200"/>
        <w:rPr>
          <w:szCs w:val="21"/>
        </w:rPr>
      </w:pPr>
      <w:r>
        <w:rPr>
          <w:szCs w:val="21"/>
        </w:rPr>
        <w:t>三、我们的投标报价包含了履行合同所需的全部费用。不论何种原因造成的报价漏项损失，我方全部承担，不会提出任何增加费用的要求。</w:t>
      </w:r>
    </w:p>
    <w:p>
      <w:pPr>
        <w:snapToGrid w:val="0"/>
        <w:spacing w:before="240" w:line="480" w:lineRule="auto"/>
        <w:ind w:firstLine="440" w:firstLineChars="200"/>
        <w:rPr>
          <w:szCs w:val="21"/>
        </w:rPr>
      </w:pPr>
      <w:r>
        <w:rPr>
          <w:szCs w:val="21"/>
        </w:rPr>
        <w:t>四、我们知道，如果中标后放弃中标，不论原因何在，都是不诚信投标的行为，都会给采购项目造成损失。如果采购人将本合同授予我们，我们将承担所有的潜在合同风险，绝不以任何理由弃标。</w:t>
      </w:r>
    </w:p>
    <w:p>
      <w:pPr>
        <w:snapToGrid w:val="0"/>
        <w:spacing w:before="240" w:line="480" w:lineRule="auto"/>
        <w:ind w:firstLine="440" w:firstLineChars="200"/>
        <w:rPr>
          <w:szCs w:val="21"/>
        </w:rPr>
      </w:pPr>
      <w:r>
        <w:rPr>
          <w:szCs w:val="21"/>
        </w:rPr>
        <w:t>五、我们知道，中标后拒签或故意拖延签署合同、拒绝履行或故意拖延履行合同，不论原因何在，都是不诚信履约的行为。如果采购人将本合同授予我们，我们将如约在规定的期限内签署合同，在规定的期限内履行合同。</w:t>
      </w:r>
    </w:p>
    <w:p>
      <w:pPr>
        <w:snapToGrid w:val="0"/>
        <w:spacing w:before="240" w:line="480" w:lineRule="auto"/>
        <w:ind w:firstLine="440" w:firstLineChars="200"/>
        <w:rPr>
          <w:szCs w:val="21"/>
        </w:rPr>
      </w:pPr>
      <w:r>
        <w:rPr>
          <w:szCs w:val="21"/>
        </w:rPr>
        <w:t>六、我们声明：我方在溯往三年内的政府采购活动中，没有中标后放弃中标、拒签或故意拖延签署合同、拒绝履行或故意拖延履行合同的不诚信行为。</w:t>
      </w:r>
    </w:p>
    <w:p>
      <w:pPr>
        <w:snapToGrid w:val="0"/>
        <w:spacing w:before="240" w:line="480" w:lineRule="auto"/>
        <w:ind w:firstLine="440" w:firstLineChars="200"/>
        <w:rPr>
          <w:szCs w:val="21"/>
        </w:rPr>
      </w:pPr>
      <w:r>
        <w:rPr>
          <w:szCs w:val="21"/>
        </w:rPr>
        <w:t>以上承诺，能够经受来自任何方面的审查和监督。如有虚假或背离，我方愿承担由此引发的一切不利后果，无条件接受采购人的处置和政府采购监管单位的处罚。</w:t>
      </w:r>
    </w:p>
    <w:p>
      <w:pPr>
        <w:spacing w:before="240" w:line="480" w:lineRule="auto"/>
        <w:rPr>
          <w:iCs/>
          <w:szCs w:val="21"/>
          <w:u w:val="single"/>
        </w:rPr>
      </w:pPr>
      <w:r>
        <w:rPr>
          <w:szCs w:val="21"/>
        </w:rPr>
        <w:t xml:space="preserve">                           供应商名称（公章）：</w:t>
      </w:r>
    </w:p>
    <w:p>
      <w:pPr>
        <w:snapToGrid w:val="0"/>
        <w:spacing w:before="240" w:line="480" w:lineRule="auto"/>
        <w:rPr>
          <w:rFonts w:hint="default" w:ascii="Times New Roman" w:hAnsi="Times New Roman" w:eastAsia="宋体"/>
          <w:sz w:val="28"/>
          <w:szCs w:val="28"/>
          <w:lang w:val="en-US" w:eastAsia="zh-CN"/>
        </w:rPr>
      </w:pPr>
      <w:r>
        <w:rPr>
          <w:szCs w:val="21"/>
        </w:rPr>
        <w:t xml:space="preserve">          法定代表人</w:t>
      </w:r>
      <w:r>
        <w:rPr>
          <w:szCs w:val="21"/>
          <w:u w:val="single"/>
        </w:rPr>
        <w:t xml:space="preserve">：                     </w:t>
      </w:r>
      <w:r>
        <w:rPr>
          <w:iCs/>
          <w:szCs w:val="21"/>
        </w:rPr>
        <w:t xml:space="preserve">（签字或盖章）     </w:t>
      </w:r>
      <w:r>
        <w:rPr>
          <w:szCs w:val="21"/>
        </w:rPr>
        <w:t>日期：  年  月  日</w:t>
      </w:r>
      <w:bookmarkStart w:id="48" w:name="_Toc513642594"/>
      <w:bookmarkStart w:id="49" w:name="_Toc24555"/>
    </w:p>
    <w:p>
      <w:pPr>
        <w:pStyle w:val="2"/>
        <w:bidi w:val="0"/>
        <w:rPr>
          <w:rFonts w:hint="eastAsia" w:ascii="Times New Roman" w:hAnsi="Times New Roman" w:eastAsia="宋体"/>
          <w:sz w:val="28"/>
          <w:szCs w:val="28"/>
          <w:lang w:val="en-US" w:eastAsia="zh-CN"/>
        </w:rPr>
      </w:pPr>
      <w:r>
        <w:rPr>
          <w:rFonts w:ascii="Times New Roman" w:hAnsi="Times New Roman" w:eastAsia="宋体"/>
          <w:sz w:val="28"/>
          <w:szCs w:val="28"/>
        </w:rPr>
        <w:t>1</w:t>
      </w:r>
      <w:r>
        <w:rPr>
          <w:rFonts w:hint="eastAsia" w:ascii="Times New Roman" w:hAnsi="Times New Roman" w:eastAsia="宋体"/>
          <w:sz w:val="28"/>
          <w:szCs w:val="28"/>
          <w:lang w:val="en-US" w:eastAsia="zh-CN"/>
        </w:rPr>
        <w:t>2</w:t>
      </w:r>
      <w:r>
        <w:rPr>
          <w:rFonts w:ascii="Times New Roman" w:hAnsi="Times New Roman" w:eastAsia="宋体"/>
          <w:sz w:val="28"/>
          <w:szCs w:val="28"/>
        </w:rPr>
        <w:t>、</w:t>
      </w:r>
      <w:bookmarkEnd w:id="30"/>
      <w:bookmarkEnd w:id="48"/>
      <w:bookmarkEnd w:id="49"/>
      <w:bookmarkStart w:id="50" w:name="_Toc17446"/>
      <w:bookmarkStart w:id="51" w:name="_Toc513642597"/>
      <w:bookmarkStart w:id="52" w:name="_Toc317237647"/>
      <w:bookmarkStart w:id="53" w:name="_Toc28006"/>
      <w:r>
        <w:rPr>
          <w:rFonts w:ascii="Times New Roman" w:hAnsi="Times New Roman" w:eastAsia="宋体"/>
          <w:sz w:val="28"/>
          <w:szCs w:val="28"/>
        </w:rPr>
        <w:t>供应商认为需要提供的其它文件</w:t>
      </w:r>
      <w:bookmarkEnd w:id="50"/>
      <w:bookmarkEnd w:id="51"/>
      <w:bookmarkEnd w:id="52"/>
      <w:bookmarkEnd w:id="53"/>
    </w:p>
    <w:p>
      <w:pPr>
        <w:spacing w:before="240" w:line="480" w:lineRule="auto"/>
        <w:jc w:val="left"/>
        <w:rPr>
          <w:rFonts w:hint="default" w:eastAsia="宋体"/>
          <w:szCs w:val="21"/>
          <w:lang w:val="en-US" w:eastAsia="zh-CN"/>
        </w:rPr>
      </w:pPr>
    </w:p>
    <w:p>
      <w:pPr>
        <w:spacing w:before="240" w:line="480" w:lineRule="auto"/>
        <w:jc w:val="left"/>
        <w:rPr>
          <w:szCs w:val="21"/>
        </w:rPr>
      </w:pPr>
    </w:p>
    <w:p>
      <w:pPr>
        <w:spacing w:before="240" w:line="480" w:lineRule="auto"/>
        <w:jc w:val="left"/>
        <w:rPr>
          <w:szCs w:val="21"/>
        </w:rPr>
      </w:pPr>
    </w:p>
    <w:p>
      <w:pPr>
        <w:spacing w:before="240" w:line="480" w:lineRule="auto"/>
        <w:jc w:val="left"/>
        <w:rPr>
          <w:szCs w:val="21"/>
        </w:rPr>
      </w:pPr>
    </w:p>
    <w:p>
      <w:pPr>
        <w:spacing w:before="240" w:line="480" w:lineRule="auto"/>
        <w:jc w:val="left"/>
        <w:rPr>
          <w:szCs w:val="21"/>
        </w:rPr>
      </w:pPr>
    </w:p>
    <w:p>
      <w:pPr>
        <w:spacing w:before="240" w:line="480" w:lineRule="auto"/>
        <w:jc w:val="left"/>
        <w:rPr>
          <w:szCs w:val="21"/>
        </w:rPr>
      </w:pPr>
    </w:p>
    <w:p>
      <w:pPr>
        <w:spacing w:before="240" w:line="480" w:lineRule="auto"/>
        <w:jc w:val="left"/>
        <w:rPr>
          <w:szCs w:val="21"/>
        </w:rPr>
      </w:pPr>
    </w:p>
    <w:p>
      <w:pPr>
        <w:spacing w:before="240" w:line="480" w:lineRule="auto"/>
        <w:jc w:val="left"/>
        <w:rPr>
          <w:szCs w:val="21"/>
        </w:rPr>
      </w:pPr>
    </w:p>
    <w:p>
      <w:pPr>
        <w:spacing w:before="240" w:line="480" w:lineRule="auto"/>
        <w:jc w:val="left"/>
        <w:rPr>
          <w:szCs w:val="21"/>
        </w:rPr>
      </w:pPr>
    </w:p>
    <w:p>
      <w:pPr>
        <w:spacing w:before="240" w:line="480" w:lineRule="auto"/>
        <w:jc w:val="left"/>
        <w:rPr>
          <w:szCs w:val="21"/>
        </w:rPr>
      </w:pPr>
    </w:p>
    <w:p>
      <w:pPr>
        <w:spacing w:before="240" w:line="480" w:lineRule="auto"/>
        <w:jc w:val="left"/>
        <w:rPr>
          <w:szCs w:val="21"/>
        </w:rPr>
      </w:pPr>
    </w:p>
    <w:p>
      <w:pPr>
        <w:spacing w:before="240" w:line="480" w:lineRule="auto"/>
        <w:jc w:val="left"/>
        <w:rPr>
          <w:szCs w:val="21"/>
        </w:rPr>
      </w:pPr>
    </w:p>
    <w:p>
      <w:pPr>
        <w:spacing w:before="240" w:line="480" w:lineRule="auto"/>
        <w:jc w:val="left"/>
        <w:rPr>
          <w:szCs w:val="21"/>
        </w:rPr>
      </w:pPr>
    </w:p>
    <w:p>
      <w:pPr>
        <w:pStyle w:val="2"/>
        <w:bidi w:val="0"/>
        <w:rPr>
          <w:rFonts w:ascii="Times New Roman" w:hAnsi="Times New Roman" w:eastAsia="宋体"/>
          <w:sz w:val="24"/>
          <w:szCs w:val="24"/>
        </w:rPr>
      </w:pPr>
      <w:r>
        <w:rPr>
          <w:rFonts w:ascii="Times New Roman" w:hAnsi="Times New Roman" w:eastAsia="宋体"/>
          <w:sz w:val="24"/>
          <w:szCs w:val="24"/>
        </w:rPr>
        <w:br w:type="page"/>
      </w:r>
      <w:bookmarkStart w:id="54" w:name="_Toc513642598"/>
      <w:bookmarkStart w:id="55" w:name="_Toc22223"/>
      <w:r>
        <w:rPr>
          <w:rFonts w:ascii="Times New Roman" w:hAnsi="Times New Roman" w:eastAsia="宋体"/>
          <w:bCs w:val="0"/>
          <w:sz w:val="28"/>
          <w:szCs w:val="28"/>
        </w:rPr>
        <w:t>1</w:t>
      </w:r>
      <w:r>
        <w:rPr>
          <w:rFonts w:hint="eastAsia" w:ascii="Times New Roman" w:hAnsi="Times New Roman" w:eastAsia="宋体"/>
          <w:bCs w:val="0"/>
          <w:sz w:val="28"/>
          <w:szCs w:val="28"/>
          <w:lang w:val="en-US" w:eastAsia="zh-CN"/>
        </w:rPr>
        <w:t>3</w:t>
      </w:r>
      <w:r>
        <w:rPr>
          <w:rFonts w:ascii="Times New Roman" w:hAnsi="Times New Roman" w:eastAsia="宋体"/>
          <w:bCs w:val="0"/>
          <w:sz w:val="28"/>
          <w:szCs w:val="28"/>
        </w:rPr>
        <w:t>、</w:t>
      </w:r>
      <w:bookmarkEnd w:id="54"/>
      <w:bookmarkEnd w:id="55"/>
      <w:r>
        <w:rPr>
          <w:rFonts w:ascii="Times New Roman" w:hAnsi="Times New Roman" w:eastAsia="宋体"/>
          <w:bCs w:val="0"/>
          <w:sz w:val="28"/>
          <w:szCs w:val="28"/>
        </w:rPr>
        <w:t>第二次报价（格式）</w:t>
      </w:r>
    </w:p>
    <w:p>
      <w:pPr>
        <w:spacing w:before="8" w:line="130" w:lineRule="exact"/>
        <w:rPr>
          <w:sz w:val="13"/>
          <w:szCs w:val="13"/>
        </w:rPr>
      </w:pPr>
    </w:p>
    <w:p>
      <w:pPr>
        <w:tabs>
          <w:tab w:val="left" w:pos="6020"/>
        </w:tabs>
        <w:spacing w:line="444" w:lineRule="exact"/>
        <w:ind w:left="153" w:right="-20"/>
        <w:rPr>
          <w:b/>
          <w:bCs/>
          <w:sz w:val="24"/>
        </w:rPr>
      </w:pPr>
      <w:r>
        <w:rPr>
          <w:b/>
          <w:bCs/>
          <w:sz w:val="24"/>
        </w:rPr>
        <w:t>项目名称：</w:t>
      </w:r>
    </w:p>
    <w:p>
      <w:pPr>
        <w:tabs>
          <w:tab w:val="left" w:pos="6020"/>
        </w:tabs>
        <w:spacing w:line="444" w:lineRule="exact"/>
        <w:ind w:left="153" w:right="-20"/>
        <w:rPr>
          <w:b/>
          <w:bCs/>
          <w:sz w:val="24"/>
        </w:rPr>
      </w:pPr>
      <w:r>
        <w:rPr>
          <w:b/>
          <w:bCs/>
          <w:sz w:val="24"/>
        </w:rPr>
        <w:t>项目编号：</w:t>
      </w:r>
    </w:p>
    <w:tbl>
      <w:tblPr>
        <w:tblStyle w:val="14"/>
        <w:tblW w:w="9080" w:type="dxa"/>
        <w:tblInd w:w="0" w:type="dxa"/>
        <w:tblLayout w:type="fixed"/>
        <w:tblCellMar>
          <w:top w:w="0" w:type="dxa"/>
          <w:left w:w="0" w:type="dxa"/>
          <w:bottom w:w="0" w:type="dxa"/>
          <w:right w:w="0" w:type="dxa"/>
        </w:tblCellMar>
      </w:tblPr>
      <w:tblGrid>
        <w:gridCol w:w="2288"/>
        <w:gridCol w:w="1275"/>
        <w:gridCol w:w="5517"/>
      </w:tblGrid>
      <w:tr>
        <w:tblPrEx>
          <w:tblCellMar>
            <w:top w:w="0" w:type="dxa"/>
            <w:left w:w="0" w:type="dxa"/>
            <w:bottom w:w="0" w:type="dxa"/>
            <w:right w:w="0" w:type="dxa"/>
          </w:tblCellMar>
        </w:tblPrEx>
        <w:trPr>
          <w:trHeight w:val="1673" w:hRule="exact"/>
        </w:trPr>
        <w:tc>
          <w:tcPr>
            <w:tcW w:w="2288" w:type="dxa"/>
            <w:vMerge w:val="restart"/>
            <w:tcBorders>
              <w:top w:val="single" w:color="000000" w:sz="4" w:space="0"/>
              <w:left w:val="single" w:color="000000" w:sz="4" w:space="0"/>
              <w:right w:val="single" w:color="000000" w:sz="4" w:space="0"/>
            </w:tcBorders>
          </w:tcPr>
          <w:p>
            <w:pPr>
              <w:spacing w:line="200" w:lineRule="exact"/>
              <w:rPr>
                <w:b/>
                <w:bCs/>
                <w:sz w:val="24"/>
              </w:rPr>
            </w:pPr>
          </w:p>
          <w:p>
            <w:pPr>
              <w:spacing w:line="200" w:lineRule="exact"/>
              <w:rPr>
                <w:b/>
                <w:bCs/>
                <w:sz w:val="24"/>
              </w:rPr>
            </w:pPr>
          </w:p>
          <w:p>
            <w:pPr>
              <w:spacing w:line="200" w:lineRule="exact"/>
              <w:rPr>
                <w:b/>
                <w:bCs/>
                <w:sz w:val="24"/>
              </w:rPr>
            </w:pPr>
          </w:p>
          <w:p>
            <w:pPr>
              <w:spacing w:line="200" w:lineRule="exact"/>
              <w:rPr>
                <w:b/>
                <w:bCs/>
                <w:sz w:val="24"/>
              </w:rPr>
            </w:pPr>
          </w:p>
          <w:p>
            <w:pPr>
              <w:spacing w:before="12" w:line="280" w:lineRule="exact"/>
              <w:rPr>
                <w:b/>
                <w:bCs/>
                <w:sz w:val="24"/>
              </w:rPr>
            </w:pPr>
          </w:p>
          <w:p>
            <w:pPr>
              <w:ind w:left="565" w:right="545"/>
              <w:jc w:val="center"/>
              <w:rPr>
                <w:b/>
                <w:bCs/>
                <w:sz w:val="24"/>
              </w:rPr>
            </w:pPr>
            <w:r>
              <w:rPr>
                <w:b/>
                <w:bCs/>
                <w:sz w:val="24"/>
              </w:rPr>
              <w:t>投标总价</w:t>
            </w:r>
          </w:p>
          <w:p>
            <w:pPr>
              <w:spacing w:before="6" w:line="140" w:lineRule="exact"/>
              <w:rPr>
                <w:b/>
                <w:bCs/>
                <w:sz w:val="24"/>
              </w:rPr>
            </w:pPr>
          </w:p>
          <w:p>
            <w:pPr>
              <w:ind w:left="217" w:right="61"/>
              <w:jc w:val="center"/>
              <w:rPr>
                <w:b/>
                <w:bCs/>
                <w:sz w:val="24"/>
              </w:rPr>
            </w:pPr>
            <w:r>
              <w:rPr>
                <w:b/>
                <w:bCs/>
                <w:sz w:val="24"/>
              </w:rPr>
              <w:t>（人民币/元）</w:t>
            </w:r>
          </w:p>
        </w:tc>
        <w:tc>
          <w:tcPr>
            <w:tcW w:w="1275" w:type="dxa"/>
            <w:tcBorders>
              <w:top w:val="single" w:color="000000" w:sz="4" w:space="0"/>
              <w:left w:val="single" w:color="000000" w:sz="4" w:space="0"/>
              <w:bottom w:val="single" w:color="000000" w:sz="4" w:space="0"/>
              <w:right w:val="single" w:color="000000" w:sz="4" w:space="0"/>
            </w:tcBorders>
          </w:tcPr>
          <w:p>
            <w:pPr>
              <w:spacing w:before="8" w:line="120" w:lineRule="exact"/>
              <w:rPr>
                <w:b/>
                <w:bCs/>
                <w:sz w:val="24"/>
              </w:rPr>
            </w:pPr>
          </w:p>
          <w:p>
            <w:pPr>
              <w:spacing w:line="200" w:lineRule="exact"/>
              <w:rPr>
                <w:b/>
                <w:bCs/>
                <w:sz w:val="24"/>
              </w:rPr>
            </w:pPr>
          </w:p>
          <w:p>
            <w:pPr>
              <w:spacing w:line="200" w:lineRule="exact"/>
              <w:rPr>
                <w:b/>
                <w:bCs/>
                <w:sz w:val="24"/>
              </w:rPr>
            </w:pPr>
          </w:p>
          <w:p>
            <w:pPr>
              <w:ind w:left="383" w:right="-20"/>
              <w:rPr>
                <w:b/>
                <w:bCs/>
                <w:sz w:val="24"/>
              </w:rPr>
            </w:pPr>
            <w:r>
              <w:rPr>
                <w:b/>
                <w:bCs/>
                <w:sz w:val="24"/>
              </w:rPr>
              <w:t>大写</w:t>
            </w:r>
          </w:p>
        </w:tc>
        <w:tc>
          <w:tcPr>
            <w:tcW w:w="5517" w:type="dxa"/>
            <w:tcBorders>
              <w:top w:val="single" w:color="000000" w:sz="4" w:space="0"/>
              <w:left w:val="single" w:color="000000" w:sz="4" w:space="0"/>
              <w:bottom w:val="single" w:color="000000" w:sz="4" w:space="0"/>
              <w:right w:val="single" w:color="000000" w:sz="4" w:space="0"/>
            </w:tcBorders>
          </w:tcPr>
          <w:p>
            <w:pPr>
              <w:rPr>
                <w:b/>
                <w:bCs/>
                <w:sz w:val="24"/>
              </w:rPr>
            </w:pPr>
          </w:p>
        </w:tc>
      </w:tr>
      <w:tr>
        <w:tblPrEx>
          <w:tblCellMar>
            <w:top w:w="0" w:type="dxa"/>
            <w:left w:w="0" w:type="dxa"/>
            <w:bottom w:w="0" w:type="dxa"/>
            <w:right w:w="0" w:type="dxa"/>
          </w:tblCellMar>
        </w:tblPrEx>
        <w:trPr>
          <w:trHeight w:val="1754" w:hRule="exact"/>
        </w:trPr>
        <w:tc>
          <w:tcPr>
            <w:tcW w:w="2288" w:type="dxa"/>
            <w:vMerge w:val="continue"/>
            <w:tcBorders>
              <w:left w:val="single" w:color="000000" w:sz="4" w:space="0"/>
              <w:bottom w:val="single" w:color="000000" w:sz="4" w:space="0"/>
              <w:right w:val="single" w:color="000000" w:sz="4" w:space="0"/>
            </w:tcBorders>
          </w:tcPr>
          <w:p>
            <w:pPr>
              <w:rPr>
                <w:b/>
                <w:bCs/>
                <w:sz w:val="24"/>
              </w:rPr>
            </w:pPr>
          </w:p>
        </w:tc>
        <w:tc>
          <w:tcPr>
            <w:tcW w:w="1275" w:type="dxa"/>
            <w:tcBorders>
              <w:top w:val="single" w:color="000000" w:sz="4" w:space="0"/>
              <w:left w:val="single" w:color="000000" w:sz="4" w:space="0"/>
              <w:bottom w:val="single" w:color="000000" w:sz="4" w:space="0"/>
              <w:right w:val="single" w:color="000000" w:sz="4" w:space="0"/>
            </w:tcBorders>
          </w:tcPr>
          <w:p>
            <w:pPr>
              <w:spacing w:before="9" w:line="160" w:lineRule="exact"/>
              <w:rPr>
                <w:b/>
                <w:bCs/>
                <w:sz w:val="24"/>
              </w:rPr>
            </w:pPr>
          </w:p>
          <w:p>
            <w:pPr>
              <w:spacing w:line="200" w:lineRule="exact"/>
              <w:rPr>
                <w:b/>
                <w:bCs/>
                <w:sz w:val="24"/>
              </w:rPr>
            </w:pPr>
          </w:p>
          <w:p>
            <w:pPr>
              <w:spacing w:line="200" w:lineRule="exact"/>
              <w:rPr>
                <w:b/>
                <w:bCs/>
                <w:sz w:val="24"/>
              </w:rPr>
            </w:pPr>
          </w:p>
          <w:p>
            <w:pPr>
              <w:ind w:left="383" w:right="-20"/>
              <w:rPr>
                <w:b/>
                <w:bCs/>
                <w:sz w:val="24"/>
              </w:rPr>
            </w:pPr>
            <w:r>
              <w:rPr>
                <w:b/>
                <w:bCs/>
                <w:sz w:val="24"/>
              </w:rPr>
              <w:t>小写</w:t>
            </w:r>
          </w:p>
        </w:tc>
        <w:tc>
          <w:tcPr>
            <w:tcW w:w="5517" w:type="dxa"/>
            <w:tcBorders>
              <w:top w:val="single" w:color="000000" w:sz="4" w:space="0"/>
              <w:left w:val="single" w:color="000000" w:sz="4" w:space="0"/>
              <w:bottom w:val="single" w:color="000000" w:sz="4" w:space="0"/>
              <w:right w:val="single" w:color="000000" w:sz="4" w:space="0"/>
            </w:tcBorders>
          </w:tcPr>
          <w:p>
            <w:pPr>
              <w:rPr>
                <w:b/>
                <w:bCs/>
                <w:sz w:val="24"/>
              </w:rPr>
            </w:pPr>
          </w:p>
        </w:tc>
      </w:tr>
      <w:tr>
        <w:tblPrEx>
          <w:tblCellMar>
            <w:top w:w="0" w:type="dxa"/>
            <w:left w:w="0" w:type="dxa"/>
            <w:bottom w:w="0" w:type="dxa"/>
            <w:right w:w="0" w:type="dxa"/>
          </w:tblCellMar>
        </w:tblPrEx>
        <w:trPr>
          <w:trHeight w:val="1747" w:hRule="exact"/>
        </w:trPr>
        <w:tc>
          <w:tcPr>
            <w:tcW w:w="2288" w:type="dxa"/>
            <w:tcBorders>
              <w:top w:val="single" w:color="000000" w:sz="4" w:space="0"/>
              <w:left w:val="single" w:color="000000" w:sz="4" w:space="0"/>
              <w:bottom w:val="single" w:color="000000" w:sz="4" w:space="0"/>
              <w:right w:val="single" w:color="000000" w:sz="4" w:space="0"/>
            </w:tcBorders>
          </w:tcPr>
          <w:p>
            <w:pPr>
              <w:spacing w:before="12" w:line="240" w:lineRule="exact"/>
              <w:rPr>
                <w:b/>
                <w:bCs/>
                <w:sz w:val="24"/>
              </w:rPr>
            </w:pPr>
          </w:p>
          <w:p>
            <w:pPr>
              <w:spacing w:before="6" w:line="140" w:lineRule="exact"/>
              <w:rPr>
                <w:b/>
                <w:bCs/>
                <w:sz w:val="24"/>
              </w:rPr>
            </w:pPr>
          </w:p>
          <w:p>
            <w:pPr>
              <w:ind w:left="426" w:right="406"/>
              <w:jc w:val="center"/>
              <w:rPr>
                <w:b/>
                <w:bCs/>
                <w:sz w:val="24"/>
              </w:rPr>
            </w:pPr>
            <w:r>
              <w:rPr>
                <w:b/>
                <w:bCs/>
                <w:sz w:val="24"/>
              </w:rPr>
              <w:t>服务期限及</w:t>
            </w:r>
          </w:p>
          <w:p>
            <w:pPr>
              <w:ind w:left="426" w:right="406"/>
              <w:jc w:val="center"/>
              <w:rPr>
                <w:b/>
                <w:bCs/>
                <w:sz w:val="24"/>
              </w:rPr>
            </w:pPr>
            <w:r>
              <w:rPr>
                <w:b/>
                <w:bCs/>
                <w:sz w:val="24"/>
              </w:rPr>
              <w:t>服务地点</w:t>
            </w:r>
          </w:p>
        </w:tc>
        <w:tc>
          <w:tcPr>
            <w:tcW w:w="6792" w:type="dxa"/>
            <w:gridSpan w:val="2"/>
            <w:tcBorders>
              <w:top w:val="single" w:color="000000" w:sz="4" w:space="0"/>
              <w:left w:val="single" w:color="000000" w:sz="4" w:space="0"/>
              <w:bottom w:val="single" w:color="000000" w:sz="4" w:space="0"/>
              <w:right w:val="single" w:color="000000" w:sz="4" w:space="0"/>
            </w:tcBorders>
          </w:tcPr>
          <w:p>
            <w:pPr>
              <w:rPr>
                <w:b/>
                <w:bCs/>
                <w:sz w:val="24"/>
              </w:rPr>
            </w:pPr>
          </w:p>
        </w:tc>
      </w:tr>
    </w:tbl>
    <w:p>
      <w:pPr>
        <w:spacing w:line="200" w:lineRule="exact"/>
        <w:rPr>
          <w:b/>
          <w:bCs/>
          <w:sz w:val="24"/>
        </w:rPr>
      </w:pPr>
    </w:p>
    <w:p>
      <w:pPr>
        <w:spacing w:line="200" w:lineRule="exact"/>
        <w:rPr>
          <w:b/>
          <w:bCs/>
          <w:sz w:val="24"/>
        </w:rPr>
      </w:pPr>
    </w:p>
    <w:p>
      <w:pPr>
        <w:spacing w:line="200" w:lineRule="exact"/>
        <w:rPr>
          <w:b/>
          <w:bCs/>
          <w:sz w:val="24"/>
        </w:rPr>
      </w:pPr>
    </w:p>
    <w:p>
      <w:pPr>
        <w:spacing w:line="200" w:lineRule="exact"/>
        <w:rPr>
          <w:sz w:val="20"/>
          <w:szCs w:val="20"/>
        </w:rPr>
      </w:pPr>
    </w:p>
    <w:p>
      <w:pPr>
        <w:spacing w:line="200" w:lineRule="exact"/>
        <w:rPr>
          <w:sz w:val="24"/>
          <w:szCs w:val="24"/>
        </w:rPr>
      </w:pPr>
    </w:p>
    <w:p>
      <w:pPr>
        <w:spacing w:line="200" w:lineRule="exact"/>
        <w:rPr>
          <w:sz w:val="24"/>
          <w:szCs w:val="24"/>
        </w:rPr>
      </w:pPr>
    </w:p>
    <w:p>
      <w:pPr>
        <w:ind w:right="1653"/>
        <w:jc w:val="right"/>
        <w:rPr>
          <w:iCs/>
          <w:sz w:val="24"/>
          <w:szCs w:val="24"/>
          <w:u w:val="single"/>
        </w:rPr>
      </w:pPr>
      <w:r>
        <w:rPr>
          <w:sz w:val="24"/>
          <w:szCs w:val="24"/>
        </w:rPr>
        <w:t xml:space="preserve">                           供应商名称（公章）： </w:t>
      </w:r>
    </w:p>
    <w:p>
      <w:pPr>
        <w:ind w:right="1653"/>
        <w:jc w:val="right"/>
        <w:rPr>
          <w:sz w:val="24"/>
          <w:szCs w:val="24"/>
        </w:rPr>
      </w:pPr>
    </w:p>
    <w:p>
      <w:pPr>
        <w:ind w:right="1653"/>
        <w:jc w:val="right"/>
        <w:rPr>
          <w:sz w:val="24"/>
          <w:szCs w:val="24"/>
        </w:rPr>
      </w:pPr>
      <w:r>
        <w:rPr>
          <w:sz w:val="24"/>
          <w:szCs w:val="24"/>
        </w:rPr>
        <w:t>全权代表或法定代表人(签字):</w:t>
      </w:r>
    </w:p>
    <w:p>
      <w:pPr>
        <w:spacing w:before="6" w:line="140" w:lineRule="exact"/>
        <w:rPr>
          <w:sz w:val="24"/>
          <w:szCs w:val="24"/>
        </w:rPr>
      </w:pPr>
    </w:p>
    <w:p>
      <w:pPr>
        <w:tabs>
          <w:tab w:val="left" w:pos="560"/>
        </w:tabs>
        <w:ind w:right="1650"/>
        <w:jc w:val="right"/>
        <w:rPr>
          <w:sz w:val="24"/>
          <w:szCs w:val="24"/>
        </w:rPr>
      </w:pPr>
      <w:r>
        <w:rPr>
          <w:sz w:val="24"/>
          <w:szCs w:val="24"/>
        </w:rPr>
        <w:t>日</w:t>
      </w:r>
      <w:r>
        <w:rPr>
          <w:sz w:val="24"/>
          <w:szCs w:val="24"/>
        </w:rPr>
        <w:tab/>
      </w:r>
      <w:r>
        <w:rPr>
          <w:sz w:val="24"/>
          <w:szCs w:val="24"/>
        </w:rPr>
        <w:t>期：</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Cs w:val="21"/>
        </w:rPr>
      </w:pPr>
    </w:p>
    <w:p>
      <w:pPr>
        <w:spacing w:line="274" w:lineRule="auto"/>
        <w:ind w:left="153" w:right="74"/>
        <w:rPr>
          <w:sz w:val="24"/>
        </w:rPr>
      </w:pPr>
      <w:r>
        <w:rPr>
          <w:sz w:val="24"/>
        </w:rPr>
        <w:t>说明</w:t>
      </w:r>
      <w:r>
        <w:rPr>
          <w:spacing w:val="-14"/>
          <w:sz w:val="24"/>
        </w:rPr>
        <w:t>：</w:t>
      </w:r>
      <w:r>
        <w:rPr>
          <w:sz w:val="24"/>
        </w:rPr>
        <w:t>1</w:t>
      </w:r>
      <w:r>
        <w:rPr>
          <w:spacing w:val="-14"/>
          <w:sz w:val="24"/>
        </w:rPr>
        <w:t>、</w:t>
      </w:r>
      <w:r>
        <w:rPr>
          <w:sz w:val="24"/>
        </w:rPr>
        <w:t>本表价格</w:t>
      </w:r>
      <w:r>
        <w:rPr>
          <w:spacing w:val="2"/>
          <w:sz w:val="24"/>
        </w:rPr>
        <w:t>一</w:t>
      </w:r>
      <w:r>
        <w:rPr>
          <w:sz w:val="24"/>
        </w:rPr>
        <w:t>栏空白</w:t>
      </w:r>
      <w:r>
        <w:rPr>
          <w:spacing w:val="-14"/>
          <w:sz w:val="24"/>
        </w:rPr>
        <w:t>，</w:t>
      </w:r>
      <w:r>
        <w:rPr>
          <w:sz w:val="24"/>
        </w:rPr>
        <w:t>落款处供应商名</w:t>
      </w:r>
      <w:r>
        <w:rPr>
          <w:spacing w:val="-14"/>
          <w:sz w:val="24"/>
        </w:rPr>
        <w:t>称</w:t>
      </w:r>
      <w:r>
        <w:rPr>
          <w:sz w:val="24"/>
        </w:rPr>
        <w:t>（盖章</w:t>
      </w:r>
      <w:r>
        <w:rPr>
          <w:spacing w:val="-14"/>
          <w:sz w:val="24"/>
        </w:rPr>
        <w:t>）</w:t>
      </w:r>
      <w:r>
        <w:rPr>
          <w:sz w:val="24"/>
        </w:rPr>
        <w:t>处由供</w:t>
      </w:r>
      <w:r>
        <w:rPr>
          <w:spacing w:val="2"/>
          <w:sz w:val="24"/>
        </w:rPr>
        <w:t>应</w:t>
      </w:r>
      <w:r>
        <w:rPr>
          <w:sz w:val="24"/>
        </w:rPr>
        <w:t>商事先加盖公章</w:t>
      </w:r>
      <w:r>
        <w:rPr>
          <w:spacing w:val="-14"/>
          <w:sz w:val="24"/>
        </w:rPr>
        <w:t>，</w:t>
      </w:r>
      <w:r>
        <w:rPr>
          <w:sz w:val="24"/>
        </w:rPr>
        <w:t>单独准备至少3份（供应商应尽量避免书写错误，并准备充足数量的本表格），不与竞争性磋商响应文件一同装订，由供应商代表随身携带至磋商现场；</w:t>
      </w:r>
    </w:p>
    <w:p>
      <w:pPr>
        <w:spacing w:line="274" w:lineRule="auto"/>
        <w:ind w:left="153" w:right="74"/>
        <w:rPr>
          <w:sz w:val="24"/>
        </w:rPr>
      </w:pPr>
      <w:r>
        <w:rPr>
          <w:sz w:val="24"/>
        </w:rPr>
        <w:t>2、本表中磋商报价在开标后，由供应商根据现场开标情况，在磋商现场手工填写作为供应商对本项目的最终报价。</w:t>
      </w:r>
    </w:p>
    <w:p>
      <w:pPr>
        <w:spacing w:line="274" w:lineRule="auto"/>
        <w:ind w:left="153" w:right="74"/>
        <w:rPr>
          <w:szCs w:val="21"/>
        </w:rPr>
      </w:pPr>
    </w:p>
    <w:p/>
    <w:p>
      <w:pPr>
        <w:pStyle w:val="4"/>
        <w:jc w:val="both"/>
      </w:pPr>
    </w:p>
    <w:p>
      <w:pPr>
        <w:pStyle w:val="2"/>
        <w:jc w:val="center"/>
        <w:rPr>
          <w:rFonts w:hint="default" w:eastAsia="宋体"/>
          <w:sz w:val="44"/>
          <w:szCs w:val="44"/>
          <w:lang w:val="en-US" w:eastAsia="zh-CN"/>
        </w:rPr>
      </w:pPr>
      <w:bookmarkStart w:id="56" w:name="_Toc1945"/>
      <w:r>
        <w:rPr>
          <w:sz w:val="44"/>
          <w:szCs w:val="44"/>
        </w:rPr>
        <w:t>第</w:t>
      </w:r>
      <w:r>
        <w:rPr>
          <w:rFonts w:hint="eastAsia"/>
          <w:sz w:val="44"/>
          <w:szCs w:val="44"/>
          <w:lang w:val="en-US" w:eastAsia="zh-CN"/>
        </w:rPr>
        <w:t>六</w:t>
      </w:r>
      <w:r>
        <w:rPr>
          <w:sz w:val="44"/>
          <w:szCs w:val="44"/>
        </w:rPr>
        <w:t xml:space="preserve">章  </w:t>
      </w:r>
      <w:bookmarkEnd w:id="56"/>
      <w:r>
        <w:rPr>
          <w:rFonts w:hint="eastAsia"/>
          <w:sz w:val="44"/>
          <w:szCs w:val="44"/>
          <w:lang w:val="en-US" w:eastAsia="zh-CN"/>
        </w:rPr>
        <w:t>磋商程序</w:t>
      </w:r>
    </w:p>
    <w:p>
      <w:pPr>
        <w:pStyle w:val="2"/>
        <w:jc w:val="both"/>
        <w:rPr>
          <w:sz w:val="32"/>
          <w:szCs w:val="32"/>
        </w:rPr>
      </w:pPr>
      <w:bookmarkStart w:id="57" w:name="_Toc24440"/>
      <w:bookmarkStart w:id="58" w:name="_Toc513642577"/>
      <w:r>
        <w:rPr>
          <w:sz w:val="32"/>
          <w:szCs w:val="32"/>
        </w:rPr>
        <w:t>一、总则</w:t>
      </w:r>
      <w:bookmarkEnd w:id="57"/>
      <w:bookmarkEnd w:id="58"/>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1.1 根据《中华人民共和国政府采购法》、《政府采购货物和服务招标投标管理办法》（财政部第87号令）、《政府采购竞争性磋商采购方式管理暂行办法》财库【2014】214号等法律和规章，结合本采购项目特点制定本评标办法。</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1.2 评标工作由招标采购单位负责组织，具体评标事务由招标采购单位依法组建的评审委员会负责。评审委员会由采购人代表和有关技术、经济等方面的专家组成。</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1.3遵循公平、公正、科学、择优的原则，以相同的评审程序和标准对待所有的供应商。</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1.4反对不正当竞争，反对恶意压低投标价格。</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1.5评审委员会按照竞争性磋商文件规定的评标方法和标准进行评标，并独立履行下列职责：</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（1）审查响应文件是否符合竞争性磋商文件要求，并作出评价；</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（2）要求投标供应商对响应文件有关事项作出解释或者澄清；</w:t>
      </w:r>
    </w:p>
    <w:p>
      <w:pPr>
        <w:tabs>
          <w:tab w:val="left" w:pos="426"/>
          <w:tab w:val="left" w:pos="1701"/>
        </w:tabs>
        <w:autoSpaceDE w:val="0"/>
        <w:autoSpaceDN w:val="0"/>
        <w:adjustRightInd w:val="0"/>
        <w:snapToGrid w:val="0"/>
        <w:spacing w:beforeLines="50" w:afterLines="50" w:line="400" w:lineRule="exact"/>
        <w:ind w:firstLine="480" w:firstLineChars="200"/>
        <w:jc w:val="left"/>
        <w:rPr>
          <w:color w:val="auto"/>
          <w:sz w:val="24"/>
          <w:szCs w:val="24"/>
        </w:rPr>
      </w:pPr>
      <w:r>
        <w:rPr>
          <w:color w:val="auto"/>
          <w:sz w:val="24"/>
          <w:szCs w:val="24"/>
        </w:rPr>
        <w:t>（3）推荐</w:t>
      </w:r>
      <w:r>
        <w:rPr>
          <w:rFonts w:hint="eastAsia"/>
          <w:color w:val="auto"/>
          <w:sz w:val="24"/>
          <w:szCs w:val="24"/>
          <w:lang w:val="en-US" w:eastAsia="zh-CN"/>
        </w:rPr>
        <w:t>成交</w:t>
      </w:r>
      <w:r>
        <w:rPr>
          <w:color w:val="auto"/>
          <w:sz w:val="24"/>
          <w:szCs w:val="24"/>
        </w:rPr>
        <w:t>候选供应商名单；</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（4）向招标采购单位或者有关部门报告非法干预评审工作的行为。</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1.6评标过程严格保密。供应商对评审委员会的评标过程或合同授予决定施加影响的任何行为都可能导致其投标被拒绝。</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1.7评审委员会决定响应文件的响应性依据响应文件本身的内容，而不寻求外部的证据。</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1.8评审委员会发现竞争性磋商文件表述不明确或需要说明的事项，可提请招标采购单位书面解释说明。</w:t>
      </w:r>
    </w:p>
    <w:p>
      <w:pPr>
        <w:pStyle w:val="2"/>
        <w:jc w:val="both"/>
        <w:rPr>
          <w:sz w:val="32"/>
          <w:szCs w:val="32"/>
        </w:rPr>
      </w:pPr>
      <w:bookmarkStart w:id="59" w:name="_Toc16940"/>
      <w:bookmarkStart w:id="60" w:name="_Toc513642578"/>
      <w:r>
        <w:rPr>
          <w:sz w:val="32"/>
          <w:szCs w:val="32"/>
        </w:rPr>
        <w:t>二、评标办法</w:t>
      </w:r>
      <w:bookmarkEnd w:id="59"/>
      <w:bookmarkEnd w:id="60"/>
    </w:p>
    <w:p>
      <w:pPr>
        <w:spacing w:before="240" w:line="480" w:lineRule="auto"/>
        <w:ind w:firstLine="354" w:firstLineChars="147"/>
        <w:rPr>
          <w:b/>
          <w:sz w:val="24"/>
          <w:szCs w:val="24"/>
        </w:rPr>
      </w:pPr>
      <w:r>
        <w:rPr>
          <w:b/>
          <w:sz w:val="24"/>
          <w:szCs w:val="24"/>
        </w:rPr>
        <w:t>（一）评审规则</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2.1.1、本</w:t>
      </w:r>
      <w:r>
        <w:rPr>
          <w:rFonts w:hint="eastAsia"/>
          <w:sz w:val="24"/>
          <w:szCs w:val="24"/>
        </w:rPr>
        <w:t>磋商</w:t>
      </w:r>
      <w:r>
        <w:rPr>
          <w:sz w:val="24"/>
          <w:szCs w:val="24"/>
        </w:rPr>
        <w:t>项目的评审办法采用综合评分法，满分为100分。</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2.1.2、综合评分的因素包括以下内容：价格、服务、业绩、人员、对竞争性磋商文件的响应程度等。</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2.1.3、评审步骤：先进行初步评审，再进行详细评审。初步评审包括资格性审查和符合性审查，详细评审是对技术、商务及价格因素的评审。只有通过初步评审的供应商才能进入详细评审。</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2.1.4、综合评分及其统计：按照评审程序、评分标准以及权重分配的规定，评审委员会成员分别就各个供应商的技术状况、商务状况、对竞争性磋商文件要求的响应情况等进行评议和比较，赋予技术分和商务分。各评委赋分的算术平均值，即为该供应商的技术得分或商务得分。按综合评分法的报价计算方法计算各供应商的价格得分。将技术得分、商务得分和价格得分相加得出每个供应商的综合得分。</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2.1.5、综合得分按由高到低顺序排列。综合得分相同的，按投标报价由低到高顺序排列。综合得分和投标报价均相同的，按技术指标由优至劣顺序排列。</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2.1.6、综合得分最高的供应商为第一成交候选人，综合得分次高的供应商为第二成交候选人，依次类推。</w:t>
      </w:r>
    </w:p>
    <w:p>
      <w:pPr>
        <w:spacing w:before="240" w:line="480" w:lineRule="auto"/>
        <w:ind w:firstLine="354" w:firstLineChars="147"/>
        <w:rPr>
          <w:b/>
          <w:sz w:val="24"/>
          <w:szCs w:val="24"/>
        </w:rPr>
      </w:pPr>
      <w:r>
        <w:rPr>
          <w:b/>
          <w:sz w:val="24"/>
          <w:szCs w:val="24"/>
        </w:rPr>
        <w:t>（二）初步评审</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1、评审委员会根据磋商文件要求，对供应商的资格和响应文件的资格性、符合性进行评审。只有对《审查表》所列各项目做出实质性响应的响应文件才能通过初步评审。</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2、评审委员会将审查响应文件是否完整、有关资料证明文件是否真实有效、是否提交</w:t>
      </w:r>
      <w:r>
        <w:rPr>
          <w:rFonts w:hint="eastAsia"/>
          <w:sz w:val="24"/>
          <w:szCs w:val="24"/>
          <w:lang w:eastAsia="zh-CN"/>
        </w:rPr>
        <w:t>磋商保证金</w:t>
      </w:r>
      <w:r>
        <w:rPr>
          <w:sz w:val="24"/>
          <w:szCs w:val="24"/>
        </w:rPr>
        <w:t>、文件签署是否合格、投标有效期是否满足要求、响应文件的总体编排是否基本有序等。</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3、在详细评审之前，评审委员会要审查每份响应文件是否实质上响应了竞争性磋商文件的要求。实质上响应的投标，应该是符合竞争性磋商文件重要条款、条件和规格的要求，没有重大偏离或保留的投标。所谓重大偏离或保留，是指实质上影响合同的采购范围、质量等；或者实质上与竞争性磋商文件不一致，而且限制了合同中采购人的权利或供应商的义务；纠正这些偏离或保留，将会对其他实质上的响应要求的供应商的竞争地位产生不公正的影响。评审委员会认定响应文件是否响应竞争性磋商文件的要求，只根据响应文件本身的内容，而不寻找外部的证据。</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4、无效投标的认定</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评审过程中，响应文件出现（但不限于）下列情况的，将被认定为无效投标：</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1）供应商未提交</w:t>
      </w:r>
      <w:r>
        <w:rPr>
          <w:rFonts w:hint="eastAsia"/>
          <w:sz w:val="24"/>
          <w:szCs w:val="24"/>
          <w:lang w:eastAsia="zh-CN"/>
        </w:rPr>
        <w:t>磋商保证金</w:t>
      </w:r>
      <w:r>
        <w:rPr>
          <w:sz w:val="24"/>
          <w:szCs w:val="24"/>
        </w:rPr>
        <w:t>或</w:t>
      </w:r>
      <w:r>
        <w:rPr>
          <w:rFonts w:hint="eastAsia"/>
          <w:sz w:val="24"/>
          <w:szCs w:val="24"/>
          <w:lang w:eastAsia="zh-CN"/>
        </w:rPr>
        <w:t>磋商保证金</w:t>
      </w:r>
      <w:r>
        <w:rPr>
          <w:sz w:val="24"/>
          <w:szCs w:val="24"/>
        </w:rPr>
        <w:t>金额不足的；</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2）投标有效期不足的；</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3）响应文件未按竞争性磋商文件规定要求填写投标内容及签名盖章的；</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4）投标报价均超过了采购预算，采购人不能支付的；</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5）投标报价明显过低，可能低于其成本，而供应商不能作出合理说明的；</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6）供应商未按竞争性磋商文件要求提供下列有效证明文件的：</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未按第一章第四条供应商资格与资质要求须提供证明材料而未提供的。</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7）评审委员会认为投标未实质性响应竞争性磋商文件要求的。</w:t>
      </w:r>
    </w:p>
    <w:p>
      <w:pPr>
        <w:tabs>
          <w:tab w:val="left" w:pos="426"/>
          <w:tab w:val="left" w:pos="1701"/>
        </w:tabs>
        <w:autoSpaceDE w:val="0"/>
        <w:autoSpaceDN w:val="0"/>
        <w:adjustRightInd w:val="0"/>
        <w:snapToGrid w:val="0"/>
        <w:spacing w:beforeLines="50" w:afterLines="50" w:line="400" w:lineRule="exact"/>
        <w:ind w:firstLine="482" w:firstLineChars="200"/>
        <w:jc w:val="left"/>
        <w:rPr>
          <w:b/>
          <w:bCs/>
          <w:sz w:val="24"/>
          <w:szCs w:val="24"/>
        </w:rPr>
      </w:pPr>
      <w:r>
        <w:rPr>
          <w:b/>
          <w:bCs/>
          <w:sz w:val="24"/>
          <w:szCs w:val="24"/>
        </w:rPr>
        <w:t>（三）详细评审</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详细评审是对通过初步评审的投标进行</w:t>
      </w:r>
      <w:r>
        <w:rPr>
          <w:rFonts w:hint="eastAsia"/>
          <w:sz w:val="24"/>
          <w:szCs w:val="24"/>
          <w:lang w:val="en-US" w:eastAsia="zh-CN"/>
        </w:rPr>
        <w:t>技术及</w:t>
      </w:r>
      <w:r>
        <w:rPr>
          <w:sz w:val="24"/>
          <w:szCs w:val="24"/>
        </w:rPr>
        <w:t>商务和价格的评审。</w:t>
      </w:r>
    </w:p>
    <w:p>
      <w:pPr>
        <w:tabs>
          <w:tab w:val="left" w:pos="426"/>
          <w:tab w:val="left" w:pos="1701"/>
        </w:tabs>
        <w:autoSpaceDE w:val="0"/>
        <w:autoSpaceDN w:val="0"/>
        <w:adjustRightInd w:val="0"/>
        <w:snapToGrid w:val="0"/>
        <w:spacing w:beforeLines="50" w:afterLines="50" w:line="400" w:lineRule="exact"/>
        <w:ind w:firstLine="482" w:firstLineChars="200"/>
        <w:jc w:val="left"/>
        <w:rPr>
          <w:b/>
          <w:bCs/>
          <w:sz w:val="24"/>
          <w:szCs w:val="24"/>
        </w:rPr>
      </w:pPr>
      <w:r>
        <w:rPr>
          <w:b/>
          <w:bCs/>
          <w:sz w:val="24"/>
          <w:szCs w:val="24"/>
        </w:rPr>
        <w:t>1、价格评审</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1.1投标报价不得高于该采购预算价，磋商实行两次报价，第一次报价供应商必须按照磋商文件的报价格式填报竞标报价，第二次报价为</w:t>
      </w:r>
      <w:r>
        <w:rPr>
          <w:rFonts w:hint="eastAsia"/>
          <w:sz w:val="24"/>
          <w:szCs w:val="24"/>
          <w:lang w:val="en-US" w:eastAsia="zh-CN"/>
        </w:rPr>
        <w:t>响应</w:t>
      </w:r>
      <w:r>
        <w:rPr>
          <w:sz w:val="24"/>
          <w:szCs w:val="24"/>
        </w:rPr>
        <w:t>文件通过评审合格后由评审委员会分别组织竞标人进行的最后一次报价，即为最终报价，磋商结果以竞标人的最终报价为准。</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1.2以第二次投标报价最低的为基准价。</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1.3满足</w:t>
      </w:r>
      <w:r>
        <w:rPr>
          <w:rFonts w:hint="eastAsia"/>
          <w:sz w:val="24"/>
          <w:szCs w:val="24"/>
          <w:lang w:eastAsia="zh-CN"/>
        </w:rPr>
        <w:t>竞争性磋商文件</w:t>
      </w:r>
      <w:r>
        <w:rPr>
          <w:sz w:val="24"/>
          <w:szCs w:val="24"/>
        </w:rPr>
        <w:t>要求且报价（折扣率）最低的投标价为基准价，其价格分为满分。其他</w:t>
      </w:r>
      <w:r>
        <w:rPr>
          <w:rFonts w:hint="eastAsia"/>
          <w:sz w:val="24"/>
          <w:szCs w:val="24"/>
          <w:lang w:eastAsia="zh-CN"/>
        </w:rPr>
        <w:t>供应商</w:t>
      </w:r>
      <w:r>
        <w:rPr>
          <w:sz w:val="24"/>
          <w:szCs w:val="24"/>
        </w:rPr>
        <w:t>的价格分统一按照下列公式计算：价格分=(基准价／投标报价折扣率)×</w:t>
      </w:r>
      <w:r>
        <w:rPr>
          <w:rFonts w:hint="eastAsia"/>
          <w:sz w:val="24"/>
          <w:szCs w:val="24"/>
        </w:rPr>
        <w:t>1</w:t>
      </w:r>
      <w:r>
        <w:rPr>
          <w:sz w:val="24"/>
          <w:szCs w:val="24"/>
        </w:rPr>
        <w:t>0%×100</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1.4评审委员会认为供应商的报价明显低于其他通过符合性审查供应商的报价，有可能影响不能诚信履约的，应当要求其在磋商现场合理的时间内提供书面说明，必要时提交相关证明材料；供应商不能证明其报价合理性的，评审委员会应当将其作为无效投标处理。</w:t>
      </w:r>
    </w:p>
    <w:p>
      <w:pPr>
        <w:tabs>
          <w:tab w:val="left" w:pos="426"/>
          <w:tab w:val="left" w:pos="1701"/>
        </w:tabs>
        <w:autoSpaceDE w:val="0"/>
        <w:autoSpaceDN w:val="0"/>
        <w:adjustRightInd w:val="0"/>
        <w:snapToGrid w:val="0"/>
        <w:spacing w:beforeLines="50" w:afterLines="50" w:line="400" w:lineRule="exact"/>
        <w:ind w:firstLine="482" w:firstLineChars="200"/>
        <w:jc w:val="left"/>
        <w:rPr>
          <w:b/>
          <w:bCs/>
          <w:sz w:val="24"/>
          <w:szCs w:val="24"/>
        </w:rPr>
      </w:pPr>
      <w:r>
        <w:rPr>
          <w:b/>
          <w:bCs/>
          <w:sz w:val="24"/>
          <w:szCs w:val="24"/>
        </w:rPr>
        <w:t>2、技术商务评审</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评审委员会对供应商的资质、技术队伍、专业水平、设计方案、公司业绩、设计方案等情况进行比较和评价。</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注：商务评标因素的分值取小数点后2位，小数点后第三位四舍五入。</w:t>
      </w:r>
    </w:p>
    <w:p>
      <w:pPr>
        <w:tabs>
          <w:tab w:val="left" w:pos="426"/>
          <w:tab w:val="left" w:pos="1701"/>
        </w:tabs>
        <w:autoSpaceDE w:val="0"/>
        <w:autoSpaceDN w:val="0"/>
        <w:adjustRightInd w:val="0"/>
        <w:snapToGrid w:val="0"/>
        <w:spacing w:beforeLines="50" w:afterLines="50" w:line="400" w:lineRule="exact"/>
        <w:ind w:firstLine="482" w:firstLineChars="200"/>
        <w:jc w:val="left"/>
        <w:rPr>
          <w:b/>
          <w:bCs/>
          <w:sz w:val="24"/>
          <w:szCs w:val="24"/>
        </w:rPr>
      </w:pPr>
      <w:r>
        <w:rPr>
          <w:b/>
          <w:bCs/>
          <w:sz w:val="24"/>
          <w:szCs w:val="24"/>
        </w:rPr>
        <w:t>3、编写评审报告</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评审报告是评审委员会根据全体评标成员签字的原始评标记录和评标结果编写的报告，其主要内容包括：</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（1）招标公告刊登的媒体名称、开标日期和地点；</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（2）获取竞争性磋商文件的供应商名单和评审委员会成员名单；</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（3）评标方法和标准；</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（4）开标记录和评标情况及说明，包括投标无效供应商名单及原因；</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（5）评审结果和中标候选供应商排序表；</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评审委员会的授标建议。</w:t>
      </w:r>
    </w:p>
    <w:p>
      <w:pPr>
        <w:tabs>
          <w:tab w:val="left" w:pos="426"/>
          <w:tab w:val="left" w:pos="1701"/>
        </w:tabs>
        <w:autoSpaceDE w:val="0"/>
        <w:autoSpaceDN w:val="0"/>
        <w:adjustRightInd w:val="0"/>
        <w:snapToGrid w:val="0"/>
        <w:spacing w:beforeLines="50" w:afterLines="50" w:line="400" w:lineRule="exact"/>
        <w:ind w:firstLine="482" w:firstLineChars="200"/>
        <w:jc w:val="left"/>
        <w:rPr>
          <w:b/>
          <w:bCs/>
          <w:sz w:val="24"/>
          <w:szCs w:val="24"/>
        </w:rPr>
      </w:pPr>
      <w:r>
        <w:rPr>
          <w:b/>
          <w:bCs/>
          <w:sz w:val="24"/>
          <w:szCs w:val="24"/>
        </w:rPr>
        <w:t>4、废 标</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本次政府采购活动中，出现下列情形之一的，予以废标：</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（1）符合专业条件的供应商或者对竞争性磋商文件作实质响应的供应商不足三家的；</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（2）出现影响采购公正的违法、违规行为的；</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（3）供应商的报价均超过了采购预算，采购人不能支付的；</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（4）因重大变故，采购任务取消的。</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废标后，招采购代理机构将在指定媒体发布公告，并公告废标的理由。</w:t>
      </w:r>
    </w:p>
    <w:p>
      <w:pPr>
        <w:tabs>
          <w:tab w:val="left" w:pos="426"/>
          <w:tab w:val="left" w:pos="1701"/>
        </w:tabs>
        <w:autoSpaceDE w:val="0"/>
        <w:autoSpaceDN w:val="0"/>
        <w:adjustRightInd w:val="0"/>
        <w:snapToGrid w:val="0"/>
        <w:spacing w:beforeLines="50" w:afterLines="50" w:line="400" w:lineRule="exact"/>
        <w:ind w:firstLine="482" w:firstLineChars="200"/>
        <w:jc w:val="left"/>
        <w:rPr>
          <w:b/>
          <w:bCs/>
          <w:sz w:val="24"/>
          <w:szCs w:val="24"/>
        </w:rPr>
      </w:pPr>
      <w:r>
        <w:rPr>
          <w:b/>
          <w:bCs/>
          <w:sz w:val="24"/>
          <w:szCs w:val="24"/>
        </w:rPr>
        <w:t>5、定标</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5.1定标原则：评审委员会依据评审结论推荐 3 名中标候选供应商。采购人根据评审委员会推荐的成交候选人名单，按顺序确定成交供应商。</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5.2 定标程序</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5.2.1评审委员会将评审情况写出书面报告，推荐成交候选人，并按照综合得分高低标明排列顺序。综合得分相同的，按投标报价由低到高顺序排列。得分且投标报价相同的，按技术指标优劣顺序排列。</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5.2.2采购代理机构在评标结束后2个工作日内将评审报告送采购人。</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5.2.3采购人在收到评审报告后5个工作日内，按照评审报告中推荐的成交候选人顺序确定成交供应商。</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5.2.4根据采购人确定的成交供应商，采购代理机构同时在中国采购与招标网、中国海南政府采购网上发布成交公告，向成交供应商发出成交通知书。</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5.2.5招标采购单位不解释中标或落标原因，不退回响应文件和其他投标资料。</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5.2.6中标人放弃中标或因故不能履行合同的，按照政府采购相关法律法规的规定处理。</w:t>
      </w:r>
    </w:p>
    <w:p>
      <w:pPr>
        <w:tabs>
          <w:tab w:val="left" w:pos="945"/>
        </w:tabs>
        <w:spacing w:before="240" w:line="480" w:lineRule="auto"/>
        <w:ind w:firstLine="354" w:firstLineChars="147"/>
        <w:rPr>
          <w:b/>
          <w:sz w:val="24"/>
          <w:szCs w:val="24"/>
        </w:rPr>
      </w:pPr>
      <w:r>
        <w:rPr>
          <w:b/>
          <w:sz w:val="24"/>
          <w:szCs w:val="24"/>
        </w:rPr>
        <w:t>6、评审委员会承担以下义务</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6.1遵纪守法，客观、公正、廉洁地履行职责。</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6.2按照政府采购法律法规和采购文件的规定要求对供应商的资格条件和供应商提供的产品价格、技术、服务等方面严格进行评判，提供科学合理、公平公正的评审意见，参与起草评审报告，并签字确认。</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6.3保守秘密。不得透露采购文件咨询情况，不得泄漏供应商的响应文件及知悉的商业秘密，不得向供应商透露评审情况。</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6.4发现供应商在政府采购活动中有不正当竞争或恶意串通等违规行为，及时向政府采购评审工作的组织者或财政部门报告并加以制止。</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发现采购人、采购代理机构及其工作人员在政府采购活动中有干预评审、发表倾向性和歧视性言论、受贿或者接受供应商的其他好处及其他违法违规行为，及时向财政部门报告。</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6.5解答有关方面对政府采购评审工作中有关问题的询问，配合采购人或者采购代理机构答复供应商质疑，配合财政部门的投诉处理工作等事宜。</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6.6法律、法规和规章规定的其他义务。</w:t>
      </w:r>
    </w:p>
    <w:p>
      <w:pPr>
        <w:pStyle w:val="24"/>
        <w:numPr>
          <w:ilvl w:val="0"/>
          <w:numId w:val="3"/>
        </w:numPr>
        <w:tabs>
          <w:tab w:val="left" w:pos="945"/>
        </w:tabs>
        <w:spacing w:before="240" w:line="480" w:lineRule="auto"/>
        <w:ind w:firstLineChars="0"/>
        <w:rPr>
          <w:b/>
          <w:sz w:val="24"/>
          <w:szCs w:val="24"/>
        </w:rPr>
      </w:pPr>
      <w:r>
        <w:rPr>
          <w:b/>
          <w:sz w:val="24"/>
          <w:szCs w:val="24"/>
        </w:rPr>
        <w:t>评审委员应当遵守以下工作纪律：</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7.1应邀按时参加评审和咨询活动。遇特殊情况不能出席或途中遇阻不能按时参加评审或咨询的，应及时告知财政部门或者采购人或者采购代理机构，不得私自转托他人。</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7.2不得参加与自己有利害关系的政府采购项目的评审活动。对与自己有利害关系的评审项目，如受到邀请，应主动提出回避。财政部门、采购代理机构也可要求该评审专家回避。</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有利害关系是指三年内曾在参加该采购项目的供应商处任职(包括一般工作)或担任顾问，配偶或直系亲属在参加该采购项目的供应商中任职或担任顾问，与参加该采购项目供应商发生过法律纠纷，以及其他可能影响公正评审的情况。</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7.3评审或咨询过程中关闭通讯设备，不得与外界联系。因发生不可预见情况，确实需要与外界联系的，应当在现场工作人员陪同下联系。</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7.4评审过程中，不得发表影响评审公正的倾向性、歧视性言论；不得征询或者接受采购人的倾向性意见；不得以任何明示或暗示的方式要求参加该采购项目的供应商以澄清、说明或补正为借口，表达与其原响应文件原意不同的新意见；不得以采购文件没有规定的方法和标准作为评审的依据；不得违反规定的评审格式评分和撰写评审意见；不得拒绝对自己的评审意见签字确认。</w:t>
      </w:r>
    </w:p>
    <w:p>
      <w:pPr>
        <w:tabs>
          <w:tab w:val="left" w:pos="426"/>
          <w:tab w:val="left" w:pos="1701"/>
        </w:tabs>
        <w:autoSpaceDE w:val="0"/>
        <w:autoSpaceDN w:val="0"/>
        <w:adjustRightInd w:val="0"/>
        <w:snapToGrid w:val="0"/>
        <w:spacing w:beforeLines="50" w:afterLines="50" w:line="400" w:lineRule="exact"/>
        <w:ind w:firstLine="240" w:firstLineChars="100"/>
        <w:jc w:val="left"/>
        <w:rPr>
          <w:sz w:val="24"/>
          <w:szCs w:val="24"/>
        </w:rPr>
      </w:pPr>
      <w:r>
        <w:rPr>
          <w:sz w:val="24"/>
          <w:szCs w:val="24"/>
        </w:rPr>
        <w:t>7.5有关部门规定的其他评审工作纪律。</w:t>
      </w:r>
      <w:bookmarkStart w:id="61" w:name="_Toc10112"/>
    </w:p>
    <w:p>
      <w:pPr>
        <w:pStyle w:val="24"/>
        <w:numPr>
          <w:ilvl w:val="0"/>
          <w:numId w:val="3"/>
        </w:numPr>
        <w:tabs>
          <w:tab w:val="left" w:pos="945"/>
        </w:tabs>
        <w:spacing w:before="240" w:line="480" w:lineRule="auto"/>
        <w:ind w:firstLineChars="0"/>
        <w:rPr>
          <w:b/>
          <w:sz w:val="32"/>
          <w:szCs w:val="32"/>
        </w:rPr>
      </w:pPr>
      <w:r>
        <w:rPr>
          <w:b/>
          <w:sz w:val="32"/>
          <w:szCs w:val="32"/>
        </w:rPr>
        <w:t>评标方法附表</w:t>
      </w:r>
      <w:bookmarkEnd w:id="61"/>
    </w:p>
    <w:p>
      <w:pPr>
        <w:pStyle w:val="24"/>
        <w:numPr>
          <w:ilvl w:val="0"/>
          <w:numId w:val="0"/>
        </w:numPr>
        <w:tabs>
          <w:tab w:val="left" w:pos="945"/>
        </w:tabs>
        <w:spacing w:before="240" w:line="480" w:lineRule="auto"/>
        <w:ind w:left="360" w:leftChars="0" w:right="0" w:rightChars="0"/>
        <w:rPr>
          <w:b/>
          <w:sz w:val="24"/>
          <w:szCs w:val="24"/>
        </w:rPr>
      </w:pPr>
      <w:bookmarkStart w:id="62" w:name="_Toc29707"/>
      <w:bookmarkStart w:id="63" w:name="_Toc513642579"/>
      <w:r>
        <w:rPr>
          <w:b/>
          <w:sz w:val="24"/>
          <w:szCs w:val="24"/>
        </w:rPr>
        <w:t>附表1、审查表</w:t>
      </w:r>
      <w:bookmarkEnd w:id="62"/>
      <w:bookmarkEnd w:id="63"/>
    </w:p>
    <w:p>
      <w:pPr>
        <w:widowControl/>
        <w:autoSpaceDN w:val="0"/>
        <w:spacing w:before="240" w:line="360" w:lineRule="auto"/>
        <w:ind w:firstLine="482" w:firstLineChars="200"/>
        <w:jc w:val="center"/>
        <w:rPr>
          <w:b/>
          <w:kern w:val="0"/>
          <w:sz w:val="24"/>
          <w:szCs w:val="24"/>
        </w:rPr>
      </w:pPr>
      <w:r>
        <w:rPr>
          <w:b/>
          <w:kern w:val="0"/>
          <w:sz w:val="24"/>
          <w:szCs w:val="24"/>
        </w:rPr>
        <w:t>资格性审查</w:t>
      </w:r>
    </w:p>
    <w:tbl>
      <w:tblPr>
        <w:tblStyle w:val="15"/>
        <w:tblpPr w:leftFromText="180" w:rightFromText="180" w:vertAnchor="text" w:tblpXSpec="center" w:tblpY="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15"/>
        <w:gridCol w:w="4589"/>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675" w:type="dxa"/>
            <w:vMerge w:val="restart"/>
            <w:vAlign w:val="center"/>
          </w:tcPr>
          <w:p>
            <w:pPr>
              <w:widowControl/>
              <w:spacing w:line="480" w:lineRule="auto"/>
              <w:jc w:val="center"/>
              <w:rPr>
                <w:kern w:val="0"/>
                <w:sz w:val="24"/>
                <w:szCs w:val="24"/>
              </w:rPr>
            </w:pPr>
            <w:r>
              <w:rPr>
                <w:kern w:val="0"/>
                <w:sz w:val="24"/>
                <w:szCs w:val="24"/>
              </w:rPr>
              <w:t>序号</w:t>
            </w:r>
          </w:p>
        </w:tc>
        <w:tc>
          <w:tcPr>
            <w:tcW w:w="2215" w:type="dxa"/>
            <w:vMerge w:val="restart"/>
            <w:vAlign w:val="center"/>
          </w:tcPr>
          <w:p>
            <w:pPr>
              <w:widowControl/>
              <w:spacing w:line="480" w:lineRule="auto"/>
              <w:jc w:val="center"/>
              <w:rPr>
                <w:kern w:val="0"/>
                <w:sz w:val="24"/>
                <w:szCs w:val="24"/>
              </w:rPr>
            </w:pPr>
            <w:r>
              <w:rPr>
                <w:kern w:val="0"/>
                <w:sz w:val="24"/>
                <w:szCs w:val="24"/>
              </w:rPr>
              <w:t>评审因素</w:t>
            </w:r>
          </w:p>
        </w:tc>
        <w:tc>
          <w:tcPr>
            <w:tcW w:w="4589" w:type="dxa"/>
            <w:vMerge w:val="restart"/>
            <w:vAlign w:val="center"/>
          </w:tcPr>
          <w:p>
            <w:pPr>
              <w:widowControl/>
              <w:spacing w:line="480" w:lineRule="auto"/>
              <w:jc w:val="center"/>
              <w:rPr>
                <w:kern w:val="0"/>
                <w:sz w:val="24"/>
                <w:szCs w:val="24"/>
              </w:rPr>
            </w:pPr>
            <w:r>
              <w:rPr>
                <w:kern w:val="0"/>
                <w:sz w:val="24"/>
                <w:szCs w:val="24"/>
              </w:rPr>
              <w:t>评审标准</w:t>
            </w:r>
          </w:p>
        </w:tc>
        <w:tc>
          <w:tcPr>
            <w:tcW w:w="1701" w:type="dxa"/>
            <w:gridSpan w:val="3"/>
            <w:vAlign w:val="center"/>
          </w:tcPr>
          <w:p>
            <w:pPr>
              <w:widowControl/>
              <w:spacing w:line="480" w:lineRule="auto"/>
              <w:jc w:val="center"/>
              <w:rPr>
                <w:kern w:val="0"/>
                <w:sz w:val="24"/>
                <w:szCs w:val="24"/>
              </w:rPr>
            </w:pPr>
            <w:r>
              <w:rPr>
                <w:kern w:val="0"/>
                <w:sz w:val="24"/>
                <w:szCs w:val="24"/>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75" w:type="dxa"/>
            <w:vMerge w:val="continue"/>
            <w:vAlign w:val="center"/>
          </w:tcPr>
          <w:p>
            <w:pPr>
              <w:widowControl/>
              <w:spacing w:line="480" w:lineRule="auto"/>
              <w:jc w:val="center"/>
              <w:rPr>
                <w:kern w:val="0"/>
                <w:sz w:val="24"/>
                <w:szCs w:val="24"/>
              </w:rPr>
            </w:pPr>
          </w:p>
        </w:tc>
        <w:tc>
          <w:tcPr>
            <w:tcW w:w="2215" w:type="dxa"/>
            <w:vMerge w:val="continue"/>
            <w:vAlign w:val="center"/>
          </w:tcPr>
          <w:p>
            <w:pPr>
              <w:widowControl/>
              <w:spacing w:line="480" w:lineRule="auto"/>
              <w:jc w:val="center"/>
              <w:rPr>
                <w:kern w:val="0"/>
                <w:sz w:val="24"/>
                <w:szCs w:val="24"/>
              </w:rPr>
            </w:pPr>
          </w:p>
        </w:tc>
        <w:tc>
          <w:tcPr>
            <w:tcW w:w="4589" w:type="dxa"/>
            <w:vMerge w:val="continue"/>
            <w:vAlign w:val="center"/>
          </w:tcPr>
          <w:p>
            <w:pPr>
              <w:widowControl/>
              <w:spacing w:line="480" w:lineRule="auto"/>
              <w:jc w:val="center"/>
              <w:rPr>
                <w:kern w:val="0"/>
                <w:sz w:val="24"/>
                <w:szCs w:val="24"/>
              </w:rPr>
            </w:pPr>
          </w:p>
        </w:tc>
        <w:tc>
          <w:tcPr>
            <w:tcW w:w="567" w:type="dxa"/>
            <w:vAlign w:val="center"/>
          </w:tcPr>
          <w:p>
            <w:pPr>
              <w:widowControl/>
              <w:spacing w:line="480" w:lineRule="auto"/>
              <w:jc w:val="center"/>
              <w:rPr>
                <w:kern w:val="0"/>
                <w:sz w:val="24"/>
                <w:szCs w:val="24"/>
              </w:rPr>
            </w:pPr>
            <w:r>
              <w:rPr>
                <w:kern w:val="0"/>
                <w:sz w:val="24"/>
                <w:szCs w:val="24"/>
              </w:rPr>
              <w:t>1</w:t>
            </w:r>
          </w:p>
        </w:tc>
        <w:tc>
          <w:tcPr>
            <w:tcW w:w="567" w:type="dxa"/>
            <w:vAlign w:val="center"/>
          </w:tcPr>
          <w:p>
            <w:pPr>
              <w:widowControl/>
              <w:spacing w:line="480" w:lineRule="auto"/>
              <w:jc w:val="center"/>
              <w:rPr>
                <w:kern w:val="0"/>
                <w:sz w:val="24"/>
                <w:szCs w:val="24"/>
              </w:rPr>
            </w:pPr>
            <w:r>
              <w:rPr>
                <w:kern w:val="0"/>
                <w:sz w:val="24"/>
                <w:szCs w:val="24"/>
              </w:rPr>
              <w:t>2</w:t>
            </w:r>
          </w:p>
        </w:tc>
        <w:tc>
          <w:tcPr>
            <w:tcW w:w="567" w:type="dxa"/>
            <w:vAlign w:val="center"/>
          </w:tcPr>
          <w:p>
            <w:pPr>
              <w:widowControl/>
              <w:spacing w:line="480" w:lineRule="auto"/>
              <w:jc w:val="center"/>
              <w:rPr>
                <w:kern w:val="0"/>
                <w:sz w:val="24"/>
                <w:szCs w:val="24"/>
              </w:rPr>
            </w:pPr>
            <w:r>
              <w:rPr>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675" w:type="dxa"/>
            <w:vAlign w:val="center"/>
          </w:tcPr>
          <w:p>
            <w:pPr>
              <w:widowControl/>
              <w:spacing w:line="480" w:lineRule="auto"/>
              <w:jc w:val="center"/>
              <w:rPr>
                <w:kern w:val="0"/>
                <w:sz w:val="24"/>
                <w:szCs w:val="24"/>
              </w:rPr>
            </w:pPr>
            <w:r>
              <w:rPr>
                <w:kern w:val="0"/>
                <w:sz w:val="24"/>
                <w:szCs w:val="24"/>
              </w:rPr>
              <w:t>1</w:t>
            </w:r>
          </w:p>
        </w:tc>
        <w:tc>
          <w:tcPr>
            <w:tcW w:w="2215" w:type="dxa"/>
            <w:vAlign w:val="center"/>
          </w:tcPr>
          <w:p>
            <w:pPr>
              <w:widowControl/>
              <w:spacing w:line="480" w:lineRule="auto"/>
              <w:jc w:val="center"/>
              <w:rPr>
                <w:kern w:val="0"/>
                <w:sz w:val="24"/>
                <w:szCs w:val="24"/>
              </w:rPr>
            </w:pPr>
            <w:r>
              <w:rPr>
                <w:kern w:val="0"/>
                <w:sz w:val="24"/>
                <w:szCs w:val="24"/>
              </w:rPr>
              <w:t>营业执照</w:t>
            </w:r>
          </w:p>
        </w:tc>
        <w:tc>
          <w:tcPr>
            <w:tcW w:w="4589" w:type="dxa"/>
            <w:vAlign w:val="center"/>
          </w:tcPr>
          <w:p>
            <w:pPr>
              <w:widowControl/>
              <w:spacing w:line="480" w:lineRule="auto"/>
              <w:jc w:val="center"/>
              <w:rPr>
                <w:kern w:val="0"/>
                <w:sz w:val="24"/>
                <w:szCs w:val="24"/>
              </w:rPr>
            </w:pPr>
            <w:r>
              <w:rPr>
                <w:kern w:val="0"/>
                <w:sz w:val="24"/>
                <w:szCs w:val="24"/>
              </w:rPr>
              <w:t>提供有效的营业执照</w:t>
            </w:r>
          </w:p>
        </w:tc>
        <w:tc>
          <w:tcPr>
            <w:tcW w:w="567" w:type="dxa"/>
            <w:vAlign w:val="center"/>
          </w:tcPr>
          <w:p>
            <w:pPr>
              <w:widowControl/>
              <w:spacing w:line="480" w:lineRule="auto"/>
              <w:jc w:val="center"/>
              <w:rPr>
                <w:kern w:val="0"/>
                <w:sz w:val="24"/>
                <w:szCs w:val="24"/>
              </w:rPr>
            </w:pPr>
          </w:p>
        </w:tc>
        <w:tc>
          <w:tcPr>
            <w:tcW w:w="567" w:type="dxa"/>
            <w:vAlign w:val="center"/>
          </w:tcPr>
          <w:p>
            <w:pPr>
              <w:widowControl/>
              <w:spacing w:line="480" w:lineRule="auto"/>
              <w:jc w:val="center"/>
              <w:rPr>
                <w:kern w:val="0"/>
                <w:sz w:val="24"/>
                <w:szCs w:val="24"/>
              </w:rPr>
            </w:pPr>
          </w:p>
        </w:tc>
        <w:tc>
          <w:tcPr>
            <w:tcW w:w="567" w:type="dxa"/>
            <w:vAlign w:val="center"/>
          </w:tcPr>
          <w:p>
            <w:pPr>
              <w:widowControl/>
              <w:spacing w:line="480" w:lineRule="auto"/>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675" w:type="dxa"/>
            <w:vAlign w:val="center"/>
          </w:tcPr>
          <w:p>
            <w:pPr>
              <w:widowControl/>
              <w:spacing w:line="480" w:lineRule="auto"/>
              <w:jc w:val="center"/>
              <w:rPr>
                <w:kern w:val="0"/>
                <w:sz w:val="24"/>
                <w:szCs w:val="24"/>
              </w:rPr>
            </w:pPr>
            <w:r>
              <w:rPr>
                <w:kern w:val="0"/>
                <w:sz w:val="24"/>
                <w:szCs w:val="24"/>
              </w:rPr>
              <w:t>2</w:t>
            </w:r>
          </w:p>
        </w:tc>
        <w:tc>
          <w:tcPr>
            <w:tcW w:w="2215" w:type="dxa"/>
            <w:vAlign w:val="center"/>
          </w:tcPr>
          <w:p>
            <w:pPr>
              <w:widowControl/>
              <w:spacing w:line="480" w:lineRule="auto"/>
              <w:jc w:val="center"/>
              <w:rPr>
                <w:kern w:val="0"/>
                <w:sz w:val="24"/>
                <w:szCs w:val="24"/>
              </w:rPr>
            </w:pPr>
            <w:r>
              <w:rPr>
                <w:kern w:val="0"/>
                <w:sz w:val="24"/>
                <w:szCs w:val="24"/>
              </w:rPr>
              <w:t>资格、资质要求</w:t>
            </w:r>
          </w:p>
        </w:tc>
        <w:tc>
          <w:tcPr>
            <w:tcW w:w="4589" w:type="dxa"/>
            <w:vAlign w:val="center"/>
          </w:tcPr>
          <w:p>
            <w:pPr>
              <w:widowControl/>
              <w:spacing w:line="480" w:lineRule="auto"/>
              <w:jc w:val="center"/>
              <w:rPr>
                <w:kern w:val="0"/>
                <w:sz w:val="24"/>
                <w:szCs w:val="24"/>
              </w:rPr>
            </w:pPr>
            <w:r>
              <w:rPr>
                <w:kern w:val="0"/>
                <w:sz w:val="24"/>
                <w:szCs w:val="24"/>
              </w:rPr>
              <w:t>是否符合竞争性磋商文件第一章供应商资格、资质要求</w:t>
            </w:r>
          </w:p>
        </w:tc>
        <w:tc>
          <w:tcPr>
            <w:tcW w:w="567" w:type="dxa"/>
            <w:vAlign w:val="center"/>
          </w:tcPr>
          <w:p>
            <w:pPr>
              <w:widowControl/>
              <w:spacing w:line="480" w:lineRule="auto"/>
              <w:jc w:val="center"/>
              <w:rPr>
                <w:kern w:val="0"/>
                <w:sz w:val="24"/>
                <w:szCs w:val="24"/>
              </w:rPr>
            </w:pPr>
          </w:p>
        </w:tc>
        <w:tc>
          <w:tcPr>
            <w:tcW w:w="567" w:type="dxa"/>
            <w:vAlign w:val="center"/>
          </w:tcPr>
          <w:p>
            <w:pPr>
              <w:widowControl/>
              <w:spacing w:line="480" w:lineRule="auto"/>
              <w:jc w:val="center"/>
              <w:rPr>
                <w:kern w:val="0"/>
                <w:sz w:val="24"/>
                <w:szCs w:val="24"/>
              </w:rPr>
            </w:pPr>
          </w:p>
        </w:tc>
        <w:tc>
          <w:tcPr>
            <w:tcW w:w="567" w:type="dxa"/>
            <w:vAlign w:val="center"/>
          </w:tcPr>
          <w:p>
            <w:pPr>
              <w:widowControl/>
              <w:spacing w:line="480" w:lineRule="auto"/>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75" w:type="dxa"/>
            <w:vAlign w:val="center"/>
          </w:tcPr>
          <w:p>
            <w:pPr>
              <w:widowControl/>
              <w:spacing w:line="480" w:lineRule="auto"/>
              <w:jc w:val="center"/>
              <w:rPr>
                <w:kern w:val="0"/>
                <w:sz w:val="24"/>
                <w:szCs w:val="24"/>
              </w:rPr>
            </w:pPr>
            <w:r>
              <w:rPr>
                <w:kern w:val="0"/>
                <w:sz w:val="24"/>
                <w:szCs w:val="24"/>
              </w:rPr>
              <w:t>3</w:t>
            </w:r>
          </w:p>
        </w:tc>
        <w:tc>
          <w:tcPr>
            <w:tcW w:w="2215" w:type="dxa"/>
            <w:vAlign w:val="center"/>
          </w:tcPr>
          <w:p>
            <w:pPr>
              <w:widowControl/>
              <w:spacing w:line="480" w:lineRule="auto"/>
              <w:jc w:val="center"/>
              <w:rPr>
                <w:kern w:val="0"/>
                <w:sz w:val="24"/>
                <w:szCs w:val="24"/>
              </w:rPr>
            </w:pPr>
            <w:r>
              <w:rPr>
                <w:kern w:val="0"/>
                <w:sz w:val="24"/>
                <w:szCs w:val="24"/>
              </w:rPr>
              <w:t>响应文件份数</w:t>
            </w:r>
          </w:p>
        </w:tc>
        <w:tc>
          <w:tcPr>
            <w:tcW w:w="4589" w:type="dxa"/>
            <w:vAlign w:val="center"/>
          </w:tcPr>
          <w:p>
            <w:pPr>
              <w:widowControl/>
              <w:spacing w:line="480" w:lineRule="auto"/>
              <w:jc w:val="center"/>
              <w:rPr>
                <w:kern w:val="0"/>
                <w:sz w:val="24"/>
                <w:szCs w:val="24"/>
              </w:rPr>
            </w:pPr>
            <w:r>
              <w:rPr>
                <w:kern w:val="0"/>
                <w:sz w:val="24"/>
                <w:szCs w:val="24"/>
              </w:rPr>
              <w:t>符合竞争性磋商文件一正三副的要求</w:t>
            </w:r>
          </w:p>
        </w:tc>
        <w:tc>
          <w:tcPr>
            <w:tcW w:w="567" w:type="dxa"/>
            <w:vAlign w:val="center"/>
          </w:tcPr>
          <w:p>
            <w:pPr>
              <w:widowControl/>
              <w:spacing w:line="480" w:lineRule="auto"/>
              <w:jc w:val="center"/>
              <w:rPr>
                <w:kern w:val="0"/>
                <w:sz w:val="24"/>
                <w:szCs w:val="24"/>
              </w:rPr>
            </w:pPr>
          </w:p>
        </w:tc>
        <w:tc>
          <w:tcPr>
            <w:tcW w:w="567" w:type="dxa"/>
            <w:vAlign w:val="center"/>
          </w:tcPr>
          <w:p>
            <w:pPr>
              <w:widowControl/>
              <w:spacing w:line="480" w:lineRule="auto"/>
              <w:jc w:val="center"/>
              <w:rPr>
                <w:kern w:val="0"/>
                <w:sz w:val="24"/>
                <w:szCs w:val="24"/>
              </w:rPr>
            </w:pPr>
          </w:p>
        </w:tc>
        <w:tc>
          <w:tcPr>
            <w:tcW w:w="567" w:type="dxa"/>
            <w:vAlign w:val="center"/>
          </w:tcPr>
          <w:p>
            <w:pPr>
              <w:widowControl/>
              <w:spacing w:line="480" w:lineRule="auto"/>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675" w:type="dxa"/>
            <w:vAlign w:val="center"/>
          </w:tcPr>
          <w:p>
            <w:pPr>
              <w:widowControl/>
              <w:spacing w:line="480" w:lineRule="auto"/>
              <w:jc w:val="center"/>
              <w:rPr>
                <w:kern w:val="0"/>
                <w:sz w:val="24"/>
                <w:szCs w:val="24"/>
              </w:rPr>
            </w:pPr>
            <w:r>
              <w:rPr>
                <w:rFonts w:hint="eastAsia"/>
                <w:kern w:val="0"/>
                <w:sz w:val="24"/>
                <w:szCs w:val="24"/>
              </w:rPr>
              <w:t>4</w:t>
            </w:r>
          </w:p>
        </w:tc>
        <w:tc>
          <w:tcPr>
            <w:tcW w:w="2215" w:type="dxa"/>
            <w:vAlign w:val="center"/>
          </w:tcPr>
          <w:p>
            <w:pPr>
              <w:widowControl/>
              <w:spacing w:line="480" w:lineRule="auto"/>
              <w:jc w:val="center"/>
              <w:rPr>
                <w:kern w:val="0"/>
                <w:sz w:val="24"/>
                <w:szCs w:val="24"/>
              </w:rPr>
            </w:pPr>
            <w:r>
              <w:rPr>
                <w:kern w:val="0"/>
                <w:sz w:val="24"/>
                <w:szCs w:val="24"/>
              </w:rPr>
              <w:t>保证金</w:t>
            </w:r>
          </w:p>
        </w:tc>
        <w:tc>
          <w:tcPr>
            <w:tcW w:w="4589" w:type="dxa"/>
            <w:vAlign w:val="center"/>
          </w:tcPr>
          <w:p>
            <w:pPr>
              <w:widowControl/>
              <w:spacing w:line="480" w:lineRule="auto"/>
              <w:jc w:val="center"/>
              <w:rPr>
                <w:kern w:val="0"/>
                <w:sz w:val="24"/>
                <w:szCs w:val="24"/>
              </w:rPr>
            </w:pPr>
            <w:r>
              <w:rPr>
                <w:kern w:val="0"/>
                <w:sz w:val="24"/>
                <w:szCs w:val="24"/>
              </w:rPr>
              <w:t>是否按要求提交保证金的</w:t>
            </w:r>
          </w:p>
        </w:tc>
        <w:tc>
          <w:tcPr>
            <w:tcW w:w="567" w:type="dxa"/>
            <w:vAlign w:val="center"/>
          </w:tcPr>
          <w:p>
            <w:pPr>
              <w:widowControl/>
              <w:spacing w:line="480" w:lineRule="auto"/>
              <w:jc w:val="center"/>
              <w:rPr>
                <w:kern w:val="0"/>
                <w:sz w:val="24"/>
                <w:szCs w:val="24"/>
              </w:rPr>
            </w:pPr>
          </w:p>
        </w:tc>
        <w:tc>
          <w:tcPr>
            <w:tcW w:w="567" w:type="dxa"/>
            <w:vAlign w:val="center"/>
          </w:tcPr>
          <w:p>
            <w:pPr>
              <w:widowControl/>
              <w:spacing w:line="480" w:lineRule="auto"/>
              <w:jc w:val="center"/>
              <w:rPr>
                <w:kern w:val="0"/>
                <w:sz w:val="24"/>
                <w:szCs w:val="24"/>
              </w:rPr>
            </w:pPr>
          </w:p>
        </w:tc>
        <w:tc>
          <w:tcPr>
            <w:tcW w:w="567" w:type="dxa"/>
            <w:vAlign w:val="center"/>
          </w:tcPr>
          <w:p>
            <w:pPr>
              <w:widowControl/>
              <w:spacing w:line="480" w:lineRule="auto"/>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675" w:type="dxa"/>
            <w:vAlign w:val="center"/>
          </w:tcPr>
          <w:p>
            <w:pPr>
              <w:widowControl/>
              <w:spacing w:line="480" w:lineRule="auto"/>
              <w:jc w:val="center"/>
              <w:rPr>
                <w:kern w:val="0"/>
                <w:sz w:val="24"/>
                <w:szCs w:val="24"/>
              </w:rPr>
            </w:pPr>
            <w:r>
              <w:rPr>
                <w:rFonts w:hint="eastAsia"/>
                <w:kern w:val="0"/>
                <w:sz w:val="24"/>
                <w:szCs w:val="24"/>
              </w:rPr>
              <w:t>5</w:t>
            </w:r>
          </w:p>
        </w:tc>
        <w:tc>
          <w:tcPr>
            <w:tcW w:w="2215" w:type="dxa"/>
            <w:vAlign w:val="center"/>
          </w:tcPr>
          <w:p>
            <w:pPr>
              <w:widowControl/>
              <w:spacing w:line="480" w:lineRule="auto"/>
              <w:jc w:val="center"/>
              <w:rPr>
                <w:kern w:val="0"/>
                <w:sz w:val="24"/>
                <w:szCs w:val="24"/>
              </w:rPr>
            </w:pPr>
            <w:r>
              <w:rPr>
                <w:kern w:val="0"/>
                <w:sz w:val="24"/>
                <w:szCs w:val="24"/>
              </w:rPr>
              <w:t>信用记录</w:t>
            </w:r>
          </w:p>
        </w:tc>
        <w:tc>
          <w:tcPr>
            <w:tcW w:w="4589" w:type="dxa"/>
            <w:vAlign w:val="center"/>
          </w:tcPr>
          <w:p>
            <w:pPr>
              <w:widowControl/>
              <w:spacing w:line="480" w:lineRule="auto"/>
              <w:jc w:val="center"/>
              <w:rPr>
                <w:kern w:val="0"/>
                <w:sz w:val="24"/>
                <w:szCs w:val="24"/>
              </w:rPr>
            </w:pPr>
            <w:r>
              <w:rPr>
                <w:kern w:val="0"/>
                <w:sz w:val="24"/>
                <w:szCs w:val="24"/>
              </w:rPr>
              <w:t>无严重违法失信行为记录</w:t>
            </w:r>
          </w:p>
        </w:tc>
        <w:tc>
          <w:tcPr>
            <w:tcW w:w="567" w:type="dxa"/>
            <w:vAlign w:val="center"/>
          </w:tcPr>
          <w:p>
            <w:pPr>
              <w:widowControl/>
              <w:spacing w:line="480" w:lineRule="auto"/>
              <w:jc w:val="center"/>
              <w:rPr>
                <w:kern w:val="0"/>
                <w:sz w:val="24"/>
                <w:szCs w:val="24"/>
              </w:rPr>
            </w:pPr>
          </w:p>
        </w:tc>
        <w:tc>
          <w:tcPr>
            <w:tcW w:w="567" w:type="dxa"/>
            <w:vAlign w:val="center"/>
          </w:tcPr>
          <w:p>
            <w:pPr>
              <w:widowControl/>
              <w:spacing w:line="480" w:lineRule="auto"/>
              <w:jc w:val="center"/>
              <w:rPr>
                <w:kern w:val="0"/>
                <w:sz w:val="24"/>
                <w:szCs w:val="24"/>
              </w:rPr>
            </w:pPr>
          </w:p>
        </w:tc>
        <w:tc>
          <w:tcPr>
            <w:tcW w:w="567" w:type="dxa"/>
            <w:vAlign w:val="center"/>
          </w:tcPr>
          <w:p>
            <w:pPr>
              <w:widowControl/>
              <w:spacing w:line="480" w:lineRule="auto"/>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890" w:type="dxa"/>
            <w:gridSpan w:val="2"/>
            <w:vAlign w:val="center"/>
          </w:tcPr>
          <w:p>
            <w:pPr>
              <w:widowControl/>
              <w:spacing w:line="480" w:lineRule="auto"/>
              <w:jc w:val="center"/>
              <w:rPr>
                <w:kern w:val="0"/>
                <w:sz w:val="24"/>
                <w:szCs w:val="24"/>
              </w:rPr>
            </w:pPr>
            <w:r>
              <w:rPr>
                <w:kern w:val="0"/>
                <w:sz w:val="24"/>
                <w:szCs w:val="24"/>
              </w:rPr>
              <w:t>结论</w:t>
            </w:r>
          </w:p>
        </w:tc>
        <w:tc>
          <w:tcPr>
            <w:tcW w:w="4589" w:type="dxa"/>
            <w:vAlign w:val="center"/>
          </w:tcPr>
          <w:p>
            <w:pPr>
              <w:widowControl/>
              <w:spacing w:line="480" w:lineRule="auto"/>
              <w:jc w:val="center"/>
              <w:rPr>
                <w:kern w:val="0"/>
                <w:sz w:val="24"/>
                <w:szCs w:val="24"/>
              </w:rPr>
            </w:pPr>
          </w:p>
        </w:tc>
        <w:tc>
          <w:tcPr>
            <w:tcW w:w="567" w:type="dxa"/>
            <w:vAlign w:val="center"/>
          </w:tcPr>
          <w:p>
            <w:pPr>
              <w:widowControl/>
              <w:spacing w:line="480" w:lineRule="auto"/>
              <w:jc w:val="center"/>
              <w:rPr>
                <w:kern w:val="0"/>
                <w:sz w:val="24"/>
                <w:szCs w:val="24"/>
              </w:rPr>
            </w:pPr>
          </w:p>
        </w:tc>
        <w:tc>
          <w:tcPr>
            <w:tcW w:w="567" w:type="dxa"/>
            <w:vAlign w:val="center"/>
          </w:tcPr>
          <w:p>
            <w:pPr>
              <w:widowControl/>
              <w:spacing w:line="480" w:lineRule="auto"/>
              <w:jc w:val="center"/>
              <w:rPr>
                <w:kern w:val="0"/>
                <w:sz w:val="24"/>
                <w:szCs w:val="24"/>
              </w:rPr>
            </w:pPr>
          </w:p>
        </w:tc>
        <w:tc>
          <w:tcPr>
            <w:tcW w:w="567" w:type="dxa"/>
            <w:vAlign w:val="center"/>
          </w:tcPr>
          <w:p>
            <w:pPr>
              <w:widowControl/>
              <w:spacing w:line="480" w:lineRule="auto"/>
              <w:jc w:val="center"/>
              <w:rPr>
                <w:kern w:val="0"/>
                <w:sz w:val="24"/>
                <w:szCs w:val="24"/>
              </w:rPr>
            </w:pPr>
          </w:p>
        </w:tc>
      </w:tr>
    </w:tbl>
    <w:p>
      <w:pPr>
        <w:widowControl/>
        <w:autoSpaceDN w:val="0"/>
        <w:spacing w:before="240" w:line="360" w:lineRule="auto"/>
        <w:jc w:val="center"/>
        <w:rPr>
          <w:b/>
          <w:kern w:val="0"/>
          <w:sz w:val="24"/>
          <w:szCs w:val="24"/>
        </w:rPr>
      </w:pPr>
      <w:r>
        <w:rPr>
          <w:b/>
          <w:kern w:val="0"/>
          <w:sz w:val="24"/>
          <w:szCs w:val="24"/>
        </w:rPr>
        <w:t>符合性审查</w:t>
      </w:r>
    </w:p>
    <w:tbl>
      <w:tblPr>
        <w:tblStyle w:val="14"/>
        <w:tblpPr w:leftFromText="180" w:rightFromText="180" w:vertAnchor="text" w:tblpXSpec="center" w:tblpY="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074"/>
        <w:gridCol w:w="4589"/>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16" w:type="dxa"/>
            <w:vMerge w:val="restart"/>
            <w:vAlign w:val="center"/>
          </w:tcPr>
          <w:p>
            <w:pPr>
              <w:widowControl/>
              <w:spacing w:line="480" w:lineRule="auto"/>
              <w:jc w:val="center"/>
              <w:rPr>
                <w:kern w:val="0"/>
                <w:sz w:val="24"/>
                <w:szCs w:val="24"/>
              </w:rPr>
            </w:pPr>
            <w:r>
              <w:rPr>
                <w:kern w:val="0"/>
                <w:sz w:val="24"/>
                <w:szCs w:val="24"/>
              </w:rPr>
              <w:t>序号</w:t>
            </w:r>
          </w:p>
        </w:tc>
        <w:tc>
          <w:tcPr>
            <w:tcW w:w="2074" w:type="dxa"/>
            <w:vMerge w:val="restart"/>
            <w:vAlign w:val="center"/>
          </w:tcPr>
          <w:p>
            <w:pPr>
              <w:widowControl/>
              <w:spacing w:line="480" w:lineRule="auto"/>
              <w:jc w:val="center"/>
              <w:rPr>
                <w:kern w:val="0"/>
                <w:sz w:val="24"/>
                <w:szCs w:val="24"/>
              </w:rPr>
            </w:pPr>
            <w:r>
              <w:rPr>
                <w:kern w:val="0"/>
                <w:sz w:val="24"/>
                <w:szCs w:val="24"/>
              </w:rPr>
              <w:t>评审因素</w:t>
            </w:r>
          </w:p>
        </w:tc>
        <w:tc>
          <w:tcPr>
            <w:tcW w:w="4589" w:type="dxa"/>
            <w:vMerge w:val="restart"/>
            <w:vAlign w:val="center"/>
          </w:tcPr>
          <w:p>
            <w:pPr>
              <w:widowControl/>
              <w:spacing w:line="480" w:lineRule="auto"/>
              <w:jc w:val="center"/>
              <w:rPr>
                <w:kern w:val="0"/>
                <w:sz w:val="24"/>
                <w:szCs w:val="24"/>
              </w:rPr>
            </w:pPr>
            <w:r>
              <w:rPr>
                <w:kern w:val="0"/>
                <w:sz w:val="24"/>
                <w:szCs w:val="24"/>
              </w:rPr>
              <w:t>评审标准</w:t>
            </w:r>
          </w:p>
        </w:tc>
        <w:tc>
          <w:tcPr>
            <w:tcW w:w="1701" w:type="dxa"/>
            <w:gridSpan w:val="3"/>
            <w:vAlign w:val="center"/>
          </w:tcPr>
          <w:p>
            <w:pPr>
              <w:widowControl/>
              <w:spacing w:line="480" w:lineRule="auto"/>
              <w:jc w:val="center"/>
              <w:rPr>
                <w:kern w:val="0"/>
                <w:sz w:val="24"/>
                <w:szCs w:val="24"/>
              </w:rPr>
            </w:pPr>
            <w:r>
              <w:rPr>
                <w:kern w:val="0"/>
                <w:sz w:val="24"/>
                <w:szCs w:val="24"/>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16" w:type="dxa"/>
            <w:vMerge w:val="continue"/>
            <w:vAlign w:val="center"/>
          </w:tcPr>
          <w:p>
            <w:pPr>
              <w:widowControl/>
              <w:spacing w:line="480" w:lineRule="auto"/>
              <w:jc w:val="center"/>
              <w:rPr>
                <w:kern w:val="0"/>
                <w:sz w:val="24"/>
                <w:szCs w:val="24"/>
              </w:rPr>
            </w:pPr>
          </w:p>
        </w:tc>
        <w:tc>
          <w:tcPr>
            <w:tcW w:w="2074" w:type="dxa"/>
            <w:vMerge w:val="continue"/>
            <w:vAlign w:val="center"/>
          </w:tcPr>
          <w:p>
            <w:pPr>
              <w:widowControl/>
              <w:spacing w:line="480" w:lineRule="auto"/>
              <w:jc w:val="center"/>
              <w:rPr>
                <w:kern w:val="0"/>
                <w:sz w:val="24"/>
                <w:szCs w:val="24"/>
              </w:rPr>
            </w:pPr>
          </w:p>
        </w:tc>
        <w:tc>
          <w:tcPr>
            <w:tcW w:w="4589" w:type="dxa"/>
            <w:vMerge w:val="continue"/>
            <w:vAlign w:val="center"/>
          </w:tcPr>
          <w:p>
            <w:pPr>
              <w:widowControl/>
              <w:spacing w:line="480" w:lineRule="auto"/>
              <w:jc w:val="center"/>
              <w:rPr>
                <w:kern w:val="0"/>
                <w:sz w:val="24"/>
                <w:szCs w:val="24"/>
              </w:rPr>
            </w:pPr>
          </w:p>
        </w:tc>
        <w:tc>
          <w:tcPr>
            <w:tcW w:w="567" w:type="dxa"/>
            <w:vAlign w:val="center"/>
          </w:tcPr>
          <w:p>
            <w:pPr>
              <w:widowControl/>
              <w:spacing w:line="480" w:lineRule="auto"/>
              <w:jc w:val="center"/>
              <w:rPr>
                <w:kern w:val="0"/>
                <w:sz w:val="24"/>
                <w:szCs w:val="24"/>
              </w:rPr>
            </w:pPr>
            <w:r>
              <w:rPr>
                <w:kern w:val="0"/>
                <w:sz w:val="24"/>
                <w:szCs w:val="24"/>
              </w:rPr>
              <w:t>1</w:t>
            </w:r>
          </w:p>
        </w:tc>
        <w:tc>
          <w:tcPr>
            <w:tcW w:w="567" w:type="dxa"/>
            <w:vAlign w:val="center"/>
          </w:tcPr>
          <w:p>
            <w:pPr>
              <w:widowControl/>
              <w:spacing w:line="480" w:lineRule="auto"/>
              <w:jc w:val="center"/>
              <w:rPr>
                <w:kern w:val="0"/>
                <w:sz w:val="24"/>
                <w:szCs w:val="24"/>
              </w:rPr>
            </w:pPr>
            <w:r>
              <w:rPr>
                <w:kern w:val="0"/>
                <w:sz w:val="24"/>
                <w:szCs w:val="24"/>
              </w:rPr>
              <w:t>2</w:t>
            </w:r>
          </w:p>
        </w:tc>
        <w:tc>
          <w:tcPr>
            <w:tcW w:w="567" w:type="dxa"/>
            <w:vAlign w:val="center"/>
          </w:tcPr>
          <w:p>
            <w:pPr>
              <w:widowControl/>
              <w:spacing w:line="480" w:lineRule="auto"/>
              <w:jc w:val="center"/>
              <w:rPr>
                <w:kern w:val="0"/>
                <w:sz w:val="24"/>
                <w:szCs w:val="24"/>
              </w:rPr>
            </w:pPr>
            <w:r>
              <w:rPr>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16" w:type="dxa"/>
            <w:vAlign w:val="center"/>
          </w:tcPr>
          <w:p>
            <w:pPr>
              <w:widowControl/>
              <w:spacing w:line="480" w:lineRule="auto"/>
              <w:jc w:val="center"/>
              <w:rPr>
                <w:kern w:val="0"/>
                <w:sz w:val="24"/>
                <w:szCs w:val="24"/>
              </w:rPr>
            </w:pPr>
            <w:r>
              <w:rPr>
                <w:kern w:val="0"/>
                <w:sz w:val="24"/>
                <w:szCs w:val="24"/>
              </w:rPr>
              <w:t>1</w:t>
            </w:r>
          </w:p>
        </w:tc>
        <w:tc>
          <w:tcPr>
            <w:tcW w:w="2074" w:type="dxa"/>
            <w:vAlign w:val="center"/>
          </w:tcPr>
          <w:p>
            <w:pPr>
              <w:widowControl/>
              <w:spacing w:line="480" w:lineRule="auto"/>
              <w:jc w:val="center"/>
              <w:rPr>
                <w:kern w:val="0"/>
                <w:sz w:val="24"/>
                <w:szCs w:val="24"/>
              </w:rPr>
            </w:pPr>
            <w:r>
              <w:rPr>
                <w:kern w:val="0"/>
                <w:sz w:val="24"/>
                <w:szCs w:val="24"/>
              </w:rPr>
              <w:t>投标有效期</w:t>
            </w:r>
          </w:p>
        </w:tc>
        <w:tc>
          <w:tcPr>
            <w:tcW w:w="4589" w:type="dxa"/>
            <w:vAlign w:val="center"/>
          </w:tcPr>
          <w:p>
            <w:pPr>
              <w:widowControl/>
              <w:spacing w:line="480" w:lineRule="auto"/>
              <w:jc w:val="center"/>
              <w:rPr>
                <w:kern w:val="0"/>
                <w:sz w:val="24"/>
                <w:szCs w:val="24"/>
              </w:rPr>
            </w:pPr>
            <w:r>
              <w:rPr>
                <w:kern w:val="0"/>
                <w:sz w:val="24"/>
                <w:szCs w:val="24"/>
              </w:rPr>
              <w:t>自开标之日起</w:t>
            </w:r>
            <w:r>
              <w:rPr>
                <w:rFonts w:hint="eastAsia"/>
                <w:kern w:val="0"/>
                <w:sz w:val="24"/>
                <w:szCs w:val="24"/>
                <w:lang w:val="en-US" w:eastAsia="zh-CN"/>
              </w:rPr>
              <w:t>60</w:t>
            </w:r>
            <w:r>
              <w:rPr>
                <w:kern w:val="0"/>
                <w:sz w:val="24"/>
                <w:szCs w:val="24"/>
              </w:rPr>
              <w:t>天</w:t>
            </w:r>
          </w:p>
        </w:tc>
        <w:tc>
          <w:tcPr>
            <w:tcW w:w="567" w:type="dxa"/>
            <w:vAlign w:val="center"/>
          </w:tcPr>
          <w:p>
            <w:pPr>
              <w:widowControl/>
              <w:spacing w:line="480" w:lineRule="auto"/>
              <w:jc w:val="center"/>
              <w:rPr>
                <w:kern w:val="0"/>
                <w:sz w:val="24"/>
                <w:szCs w:val="24"/>
              </w:rPr>
            </w:pPr>
          </w:p>
        </w:tc>
        <w:tc>
          <w:tcPr>
            <w:tcW w:w="567" w:type="dxa"/>
            <w:vAlign w:val="center"/>
          </w:tcPr>
          <w:p>
            <w:pPr>
              <w:widowControl/>
              <w:spacing w:line="480" w:lineRule="auto"/>
              <w:jc w:val="center"/>
              <w:rPr>
                <w:kern w:val="0"/>
                <w:sz w:val="24"/>
                <w:szCs w:val="24"/>
              </w:rPr>
            </w:pPr>
          </w:p>
        </w:tc>
        <w:tc>
          <w:tcPr>
            <w:tcW w:w="567" w:type="dxa"/>
            <w:vAlign w:val="center"/>
          </w:tcPr>
          <w:p>
            <w:pPr>
              <w:widowControl/>
              <w:spacing w:line="480" w:lineRule="auto"/>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816" w:type="dxa"/>
            <w:vAlign w:val="center"/>
          </w:tcPr>
          <w:p>
            <w:pPr>
              <w:widowControl/>
              <w:spacing w:line="480" w:lineRule="auto"/>
              <w:jc w:val="center"/>
              <w:rPr>
                <w:kern w:val="0"/>
                <w:sz w:val="24"/>
                <w:szCs w:val="24"/>
              </w:rPr>
            </w:pPr>
            <w:r>
              <w:rPr>
                <w:kern w:val="0"/>
                <w:sz w:val="24"/>
                <w:szCs w:val="24"/>
              </w:rPr>
              <w:t>2</w:t>
            </w:r>
          </w:p>
        </w:tc>
        <w:tc>
          <w:tcPr>
            <w:tcW w:w="2074" w:type="dxa"/>
            <w:vAlign w:val="center"/>
          </w:tcPr>
          <w:p>
            <w:pPr>
              <w:widowControl/>
              <w:spacing w:line="480" w:lineRule="auto"/>
              <w:jc w:val="center"/>
              <w:rPr>
                <w:kern w:val="0"/>
                <w:sz w:val="24"/>
                <w:szCs w:val="24"/>
              </w:rPr>
            </w:pPr>
            <w:r>
              <w:rPr>
                <w:kern w:val="0"/>
                <w:sz w:val="24"/>
                <w:szCs w:val="24"/>
              </w:rPr>
              <w:t>响应文件的有效性</w:t>
            </w:r>
          </w:p>
        </w:tc>
        <w:tc>
          <w:tcPr>
            <w:tcW w:w="4589" w:type="dxa"/>
            <w:vAlign w:val="center"/>
          </w:tcPr>
          <w:p>
            <w:pPr>
              <w:widowControl/>
              <w:spacing w:line="480" w:lineRule="auto"/>
              <w:jc w:val="center"/>
              <w:rPr>
                <w:kern w:val="0"/>
                <w:sz w:val="24"/>
                <w:szCs w:val="24"/>
              </w:rPr>
            </w:pPr>
            <w:r>
              <w:rPr>
                <w:kern w:val="0"/>
                <w:sz w:val="24"/>
                <w:szCs w:val="24"/>
              </w:rPr>
              <w:t>是否符合竞争性磋商文件的式样和签署要求且内容完整无缺漏</w:t>
            </w:r>
          </w:p>
        </w:tc>
        <w:tc>
          <w:tcPr>
            <w:tcW w:w="567" w:type="dxa"/>
            <w:vAlign w:val="center"/>
          </w:tcPr>
          <w:p>
            <w:pPr>
              <w:widowControl/>
              <w:spacing w:line="480" w:lineRule="auto"/>
              <w:jc w:val="center"/>
              <w:rPr>
                <w:kern w:val="0"/>
                <w:sz w:val="24"/>
                <w:szCs w:val="24"/>
              </w:rPr>
            </w:pPr>
          </w:p>
        </w:tc>
        <w:tc>
          <w:tcPr>
            <w:tcW w:w="567" w:type="dxa"/>
            <w:vAlign w:val="center"/>
          </w:tcPr>
          <w:p>
            <w:pPr>
              <w:widowControl/>
              <w:spacing w:line="480" w:lineRule="auto"/>
              <w:jc w:val="center"/>
              <w:rPr>
                <w:kern w:val="0"/>
                <w:sz w:val="24"/>
                <w:szCs w:val="24"/>
              </w:rPr>
            </w:pPr>
          </w:p>
        </w:tc>
        <w:tc>
          <w:tcPr>
            <w:tcW w:w="567" w:type="dxa"/>
            <w:vAlign w:val="center"/>
          </w:tcPr>
          <w:p>
            <w:pPr>
              <w:widowControl/>
              <w:spacing w:line="480" w:lineRule="auto"/>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16" w:type="dxa"/>
            <w:vAlign w:val="center"/>
          </w:tcPr>
          <w:p>
            <w:pPr>
              <w:widowControl/>
              <w:spacing w:line="480" w:lineRule="auto"/>
              <w:jc w:val="center"/>
              <w:rPr>
                <w:kern w:val="0"/>
                <w:sz w:val="24"/>
                <w:szCs w:val="24"/>
              </w:rPr>
            </w:pPr>
            <w:r>
              <w:rPr>
                <w:kern w:val="0"/>
                <w:sz w:val="24"/>
                <w:szCs w:val="24"/>
              </w:rPr>
              <w:t>3</w:t>
            </w:r>
          </w:p>
        </w:tc>
        <w:tc>
          <w:tcPr>
            <w:tcW w:w="2074" w:type="dxa"/>
            <w:vAlign w:val="center"/>
          </w:tcPr>
          <w:p>
            <w:pPr>
              <w:widowControl/>
              <w:spacing w:line="480" w:lineRule="auto"/>
              <w:jc w:val="center"/>
              <w:rPr>
                <w:kern w:val="0"/>
                <w:sz w:val="24"/>
                <w:szCs w:val="24"/>
              </w:rPr>
            </w:pPr>
            <w:r>
              <w:rPr>
                <w:rFonts w:hint="eastAsia"/>
                <w:kern w:val="0"/>
                <w:sz w:val="24"/>
                <w:szCs w:val="24"/>
              </w:rPr>
              <w:t>服务期限</w:t>
            </w:r>
            <w:r>
              <w:rPr>
                <w:kern w:val="0"/>
                <w:sz w:val="24"/>
                <w:szCs w:val="24"/>
              </w:rPr>
              <w:t>及</w:t>
            </w:r>
            <w:r>
              <w:rPr>
                <w:rFonts w:hint="eastAsia"/>
                <w:kern w:val="0"/>
                <w:sz w:val="24"/>
                <w:szCs w:val="24"/>
              </w:rPr>
              <w:t>服务地点</w:t>
            </w:r>
          </w:p>
        </w:tc>
        <w:tc>
          <w:tcPr>
            <w:tcW w:w="4589" w:type="dxa"/>
            <w:vAlign w:val="center"/>
          </w:tcPr>
          <w:p>
            <w:pPr>
              <w:widowControl/>
              <w:spacing w:line="480" w:lineRule="auto"/>
              <w:jc w:val="center"/>
              <w:rPr>
                <w:kern w:val="0"/>
                <w:sz w:val="24"/>
                <w:szCs w:val="24"/>
              </w:rPr>
            </w:pPr>
            <w:r>
              <w:rPr>
                <w:kern w:val="0"/>
                <w:sz w:val="24"/>
                <w:szCs w:val="24"/>
              </w:rPr>
              <w:t>是否符合竞争性磋商文件要求</w:t>
            </w:r>
          </w:p>
        </w:tc>
        <w:tc>
          <w:tcPr>
            <w:tcW w:w="567" w:type="dxa"/>
            <w:vAlign w:val="center"/>
          </w:tcPr>
          <w:p>
            <w:pPr>
              <w:widowControl/>
              <w:spacing w:line="480" w:lineRule="auto"/>
              <w:jc w:val="center"/>
              <w:rPr>
                <w:kern w:val="0"/>
                <w:sz w:val="24"/>
                <w:szCs w:val="24"/>
              </w:rPr>
            </w:pPr>
          </w:p>
        </w:tc>
        <w:tc>
          <w:tcPr>
            <w:tcW w:w="567" w:type="dxa"/>
            <w:vAlign w:val="center"/>
          </w:tcPr>
          <w:p>
            <w:pPr>
              <w:widowControl/>
              <w:spacing w:line="480" w:lineRule="auto"/>
              <w:jc w:val="center"/>
              <w:rPr>
                <w:kern w:val="0"/>
                <w:sz w:val="24"/>
                <w:szCs w:val="24"/>
              </w:rPr>
            </w:pPr>
          </w:p>
        </w:tc>
        <w:tc>
          <w:tcPr>
            <w:tcW w:w="567" w:type="dxa"/>
            <w:vAlign w:val="center"/>
          </w:tcPr>
          <w:p>
            <w:pPr>
              <w:widowControl/>
              <w:spacing w:line="480" w:lineRule="auto"/>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16" w:type="dxa"/>
            <w:vAlign w:val="center"/>
          </w:tcPr>
          <w:p>
            <w:pPr>
              <w:widowControl/>
              <w:spacing w:line="480" w:lineRule="auto"/>
              <w:jc w:val="center"/>
              <w:rPr>
                <w:kern w:val="0"/>
                <w:sz w:val="24"/>
                <w:szCs w:val="24"/>
              </w:rPr>
            </w:pPr>
            <w:r>
              <w:rPr>
                <w:kern w:val="0"/>
                <w:sz w:val="24"/>
                <w:szCs w:val="24"/>
              </w:rPr>
              <w:t>4</w:t>
            </w:r>
          </w:p>
        </w:tc>
        <w:tc>
          <w:tcPr>
            <w:tcW w:w="2074" w:type="dxa"/>
            <w:vAlign w:val="center"/>
          </w:tcPr>
          <w:p>
            <w:pPr>
              <w:widowControl/>
              <w:spacing w:line="480" w:lineRule="auto"/>
              <w:jc w:val="center"/>
              <w:rPr>
                <w:kern w:val="0"/>
                <w:sz w:val="24"/>
                <w:szCs w:val="24"/>
              </w:rPr>
            </w:pPr>
            <w:r>
              <w:rPr>
                <w:kern w:val="0"/>
                <w:sz w:val="24"/>
                <w:szCs w:val="24"/>
              </w:rPr>
              <w:t>其他</w:t>
            </w:r>
          </w:p>
        </w:tc>
        <w:tc>
          <w:tcPr>
            <w:tcW w:w="4589" w:type="dxa"/>
            <w:vAlign w:val="center"/>
          </w:tcPr>
          <w:p>
            <w:pPr>
              <w:widowControl/>
              <w:spacing w:line="480" w:lineRule="auto"/>
              <w:jc w:val="center"/>
              <w:rPr>
                <w:kern w:val="0"/>
                <w:sz w:val="24"/>
                <w:szCs w:val="24"/>
              </w:rPr>
            </w:pPr>
            <w:r>
              <w:rPr>
                <w:kern w:val="0"/>
                <w:sz w:val="24"/>
                <w:szCs w:val="24"/>
              </w:rPr>
              <w:t>无其他无效投标认定条件</w:t>
            </w:r>
          </w:p>
        </w:tc>
        <w:tc>
          <w:tcPr>
            <w:tcW w:w="567" w:type="dxa"/>
            <w:vAlign w:val="center"/>
          </w:tcPr>
          <w:p>
            <w:pPr>
              <w:widowControl/>
              <w:spacing w:line="480" w:lineRule="auto"/>
              <w:jc w:val="center"/>
              <w:rPr>
                <w:kern w:val="0"/>
                <w:sz w:val="24"/>
                <w:szCs w:val="24"/>
              </w:rPr>
            </w:pPr>
          </w:p>
        </w:tc>
        <w:tc>
          <w:tcPr>
            <w:tcW w:w="567" w:type="dxa"/>
            <w:vAlign w:val="center"/>
          </w:tcPr>
          <w:p>
            <w:pPr>
              <w:widowControl/>
              <w:spacing w:line="480" w:lineRule="auto"/>
              <w:jc w:val="center"/>
              <w:rPr>
                <w:kern w:val="0"/>
                <w:sz w:val="24"/>
                <w:szCs w:val="24"/>
              </w:rPr>
            </w:pPr>
          </w:p>
        </w:tc>
        <w:tc>
          <w:tcPr>
            <w:tcW w:w="567" w:type="dxa"/>
            <w:vAlign w:val="center"/>
          </w:tcPr>
          <w:p>
            <w:pPr>
              <w:widowControl/>
              <w:spacing w:line="480" w:lineRule="auto"/>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2890" w:type="dxa"/>
            <w:gridSpan w:val="2"/>
            <w:vAlign w:val="center"/>
          </w:tcPr>
          <w:p>
            <w:pPr>
              <w:widowControl/>
              <w:spacing w:line="480" w:lineRule="auto"/>
              <w:jc w:val="center"/>
              <w:rPr>
                <w:kern w:val="0"/>
                <w:sz w:val="24"/>
                <w:szCs w:val="24"/>
              </w:rPr>
            </w:pPr>
            <w:r>
              <w:rPr>
                <w:kern w:val="0"/>
                <w:sz w:val="24"/>
                <w:szCs w:val="24"/>
              </w:rPr>
              <w:t>结论</w:t>
            </w:r>
          </w:p>
        </w:tc>
        <w:tc>
          <w:tcPr>
            <w:tcW w:w="4589" w:type="dxa"/>
            <w:vAlign w:val="center"/>
          </w:tcPr>
          <w:p>
            <w:pPr>
              <w:widowControl/>
              <w:spacing w:line="480" w:lineRule="auto"/>
              <w:jc w:val="center"/>
              <w:rPr>
                <w:kern w:val="0"/>
                <w:sz w:val="24"/>
                <w:szCs w:val="24"/>
              </w:rPr>
            </w:pPr>
          </w:p>
        </w:tc>
        <w:tc>
          <w:tcPr>
            <w:tcW w:w="567" w:type="dxa"/>
            <w:vAlign w:val="center"/>
          </w:tcPr>
          <w:p>
            <w:pPr>
              <w:widowControl/>
              <w:spacing w:line="480" w:lineRule="auto"/>
              <w:jc w:val="center"/>
              <w:rPr>
                <w:kern w:val="0"/>
                <w:sz w:val="24"/>
                <w:szCs w:val="24"/>
              </w:rPr>
            </w:pPr>
          </w:p>
        </w:tc>
        <w:tc>
          <w:tcPr>
            <w:tcW w:w="567" w:type="dxa"/>
            <w:vAlign w:val="center"/>
          </w:tcPr>
          <w:p>
            <w:pPr>
              <w:widowControl/>
              <w:spacing w:line="480" w:lineRule="auto"/>
              <w:jc w:val="center"/>
              <w:rPr>
                <w:kern w:val="0"/>
                <w:sz w:val="24"/>
                <w:szCs w:val="24"/>
              </w:rPr>
            </w:pPr>
          </w:p>
        </w:tc>
        <w:tc>
          <w:tcPr>
            <w:tcW w:w="567" w:type="dxa"/>
            <w:vAlign w:val="center"/>
          </w:tcPr>
          <w:p>
            <w:pPr>
              <w:widowControl/>
              <w:spacing w:line="480" w:lineRule="auto"/>
              <w:jc w:val="center"/>
              <w:rPr>
                <w:kern w:val="0"/>
                <w:sz w:val="24"/>
                <w:szCs w:val="24"/>
              </w:rPr>
            </w:pPr>
          </w:p>
        </w:tc>
      </w:tr>
    </w:tbl>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1、表中只需填写“√、通过”或者“×、不通过”。</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2、结论采用“一项否决”原则。只有全部审查项目都是“√、通过”的，结论才能是“合格”；只要其中一项是“×、不通过”的，结论只能是“不合格”。</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3、只有结论是合格的供应商，才能进入下一轮评审；不合格的被淘汰。</w:t>
      </w:r>
    </w:p>
    <w:p>
      <w:pPr>
        <w:tabs>
          <w:tab w:val="left" w:pos="426"/>
          <w:tab w:val="left" w:pos="1701"/>
        </w:tabs>
        <w:autoSpaceDE w:val="0"/>
        <w:autoSpaceDN w:val="0"/>
        <w:adjustRightInd w:val="0"/>
        <w:snapToGrid w:val="0"/>
        <w:spacing w:beforeLines="50" w:afterLines="50" w:line="400" w:lineRule="exact"/>
        <w:ind w:firstLine="480" w:firstLineChars="200"/>
        <w:jc w:val="left"/>
        <w:rPr>
          <w:sz w:val="24"/>
          <w:szCs w:val="24"/>
        </w:rPr>
      </w:pPr>
      <w:r>
        <w:rPr>
          <w:sz w:val="24"/>
          <w:szCs w:val="24"/>
        </w:rPr>
        <w:t>注：“审查表”中的每一项要求均为必须满足项，有任何一项不满足都将会导致投标失败，请各供应商认真对待。证明材料需附于响应文件中。</w:t>
      </w:r>
    </w:p>
    <w:p>
      <w:pPr>
        <w:pStyle w:val="4"/>
        <w:rPr>
          <w:bCs/>
          <w:kern w:val="0"/>
          <w:szCs w:val="21"/>
        </w:rPr>
      </w:pPr>
      <w:r>
        <w:rPr>
          <w:bCs/>
          <w:kern w:val="0"/>
          <w:szCs w:val="21"/>
        </w:rPr>
        <w:br w:type="page"/>
      </w:r>
      <w:bookmarkStart w:id="64" w:name="_Toc513642580"/>
      <w:bookmarkStart w:id="65" w:name="_Toc17836"/>
      <w:r>
        <w:rPr>
          <w:rFonts w:hint="eastAsia"/>
          <w:bCs/>
          <w:kern w:val="0"/>
          <w:szCs w:val="21"/>
        </w:rPr>
        <w:t>附表</w:t>
      </w:r>
      <w:r>
        <w:rPr>
          <w:bCs/>
          <w:kern w:val="0"/>
          <w:szCs w:val="21"/>
        </w:rPr>
        <w:t>2、评标标准和方法</w:t>
      </w:r>
    </w:p>
    <w:p>
      <w:pPr>
        <w:pStyle w:val="4"/>
        <w:rPr>
          <w:bCs/>
          <w:kern w:val="0"/>
          <w:szCs w:val="21"/>
        </w:rPr>
      </w:pPr>
    </w:p>
    <w:tbl>
      <w:tblPr>
        <w:tblStyle w:val="14"/>
        <w:tblW w:w="983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5"/>
        <w:gridCol w:w="1731"/>
        <w:gridCol w:w="6611"/>
        <w:gridCol w:w="8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665" w:type="dxa"/>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rFonts w:hAnsi="宋体" w:cs="宋体"/>
                <w:b/>
                <w:sz w:val="24"/>
              </w:rPr>
            </w:pPr>
            <w:r>
              <w:rPr>
                <w:rFonts w:hint="eastAsia" w:hAnsi="宋体" w:cs="宋体"/>
                <w:b/>
                <w:sz w:val="24"/>
              </w:rPr>
              <w:t>序号</w:t>
            </w:r>
          </w:p>
        </w:tc>
        <w:tc>
          <w:tcPr>
            <w:tcW w:w="1731" w:type="dxa"/>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rFonts w:hAnsi="宋体" w:cs="宋体"/>
                <w:b/>
                <w:sz w:val="24"/>
              </w:rPr>
            </w:pPr>
            <w:r>
              <w:rPr>
                <w:rFonts w:hint="eastAsia" w:hAnsi="宋体" w:cs="宋体"/>
                <w:b/>
                <w:sz w:val="24"/>
              </w:rPr>
              <w:t>评审内容</w:t>
            </w:r>
          </w:p>
        </w:tc>
        <w:tc>
          <w:tcPr>
            <w:tcW w:w="6611" w:type="dxa"/>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rFonts w:hAnsi="宋体" w:cs="宋体"/>
                <w:b/>
                <w:sz w:val="24"/>
              </w:rPr>
            </w:pPr>
            <w:r>
              <w:rPr>
                <w:rFonts w:hint="eastAsia" w:hAnsi="宋体" w:cs="宋体"/>
                <w:b/>
                <w:sz w:val="24"/>
              </w:rPr>
              <w:t>评分标准</w:t>
            </w:r>
          </w:p>
        </w:tc>
        <w:tc>
          <w:tcPr>
            <w:tcW w:w="831" w:type="dxa"/>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rFonts w:hAnsi="宋体" w:cs="宋体"/>
                <w:b/>
                <w:sz w:val="24"/>
              </w:rPr>
            </w:pPr>
            <w:r>
              <w:rPr>
                <w:rFonts w:hint="eastAsia" w:hAnsi="宋体" w:cs="宋体"/>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838" w:type="dxa"/>
            <w:gridSpan w:val="4"/>
            <w:vAlign w:val="center"/>
          </w:tcPr>
          <w:p>
            <w:pPr>
              <w:jc w:val="center"/>
              <w:rPr>
                <w:rFonts w:hAnsi="宋体" w:cs="宋体"/>
                <w:b/>
                <w:bCs/>
                <w:sz w:val="24"/>
              </w:rPr>
            </w:pPr>
            <w:r>
              <w:rPr>
                <w:rFonts w:hint="eastAsia" w:hAnsi="宋体" w:cs="宋体"/>
                <w:b/>
                <w:bCs/>
                <w:sz w:val="24"/>
              </w:rPr>
              <w:t>技术部分（</w:t>
            </w:r>
            <w:r>
              <w:rPr>
                <w:rFonts w:hint="eastAsia" w:cs="宋体"/>
                <w:b/>
                <w:bCs/>
                <w:sz w:val="24"/>
                <w:lang w:val="en-US" w:eastAsia="zh-CN"/>
              </w:rPr>
              <w:t>50</w:t>
            </w:r>
            <w:r>
              <w:rPr>
                <w:rFonts w:hint="eastAsia" w:hAnsi="宋体" w:cs="宋体"/>
                <w:b/>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665" w:type="dxa"/>
            <w:vAlign w:val="center"/>
          </w:tcPr>
          <w:p>
            <w:pPr>
              <w:jc w:val="center"/>
              <w:rPr>
                <w:rFonts w:hAnsi="宋体" w:cs="宋体"/>
                <w:bCs/>
                <w:sz w:val="24"/>
              </w:rPr>
            </w:pPr>
            <w:r>
              <w:rPr>
                <w:rFonts w:hint="eastAsia" w:hAnsi="宋体" w:cs="宋体"/>
                <w:bCs/>
                <w:sz w:val="24"/>
              </w:rPr>
              <w:t>1</w:t>
            </w:r>
          </w:p>
        </w:tc>
        <w:tc>
          <w:tcPr>
            <w:tcW w:w="1731" w:type="dxa"/>
            <w:vAlign w:val="center"/>
          </w:tcPr>
          <w:p>
            <w:pPr>
              <w:pStyle w:val="25"/>
              <w:spacing w:after="0" w:line="400" w:lineRule="exact"/>
              <w:ind w:left="0" w:leftChars="0" w:right="-10"/>
              <w:jc w:val="center"/>
              <w:rPr>
                <w:rFonts w:hAnsi="宋体" w:cs="宋体"/>
                <w:bCs/>
                <w:szCs w:val="24"/>
                <w:lang w:val="zh-TW"/>
              </w:rPr>
            </w:pPr>
            <w:r>
              <w:rPr>
                <w:rFonts w:hint="eastAsia" w:hAnsi="宋体" w:cs="宋体"/>
                <w:bCs/>
                <w:szCs w:val="24"/>
              </w:rPr>
              <w:t>技术参数响应</w:t>
            </w:r>
          </w:p>
        </w:tc>
        <w:tc>
          <w:tcPr>
            <w:tcW w:w="6611" w:type="dxa"/>
            <w:vAlign w:val="center"/>
          </w:tcPr>
          <w:p>
            <w:pPr>
              <w:spacing w:line="480" w:lineRule="exact"/>
              <w:rPr>
                <w:rFonts w:hAnsi="宋体" w:cs="宋体"/>
                <w:sz w:val="24"/>
                <w:lang w:val="zh-TW" w:eastAsia="zh-TW"/>
              </w:rPr>
            </w:pPr>
            <w:r>
              <w:rPr>
                <w:rFonts w:hint="eastAsia" w:hAnsi="宋体" w:cs="宋体"/>
                <w:sz w:val="24"/>
                <w:lang w:val="zh-TW" w:eastAsia="zh-TW"/>
              </w:rPr>
              <w:t>技术部分基础分</w:t>
            </w:r>
            <w:r>
              <w:rPr>
                <w:rFonts w:hint="eastAsia" w:hAnsi="宋体" w:cs="宋体"/>
                <w:sz w:val="24"/>
                <w:lang w:val="en-US" w:eastAsia="zh-CN"/>
              </w:rPr>
              <w:t>15</w:t>
            </w:r>
            <w:r>
              <w:rPr>
                <w:rFonts w:hint="eastAsia" w:hAnsi="宋体" w:cs="宋体"/>
                <w:sz w:val="24"/>
                <w:lang w:val="zh-TW" w:eastAsia="zh-TW"/>
              </w:rPr>
              <w:t>分。供应商对</w:t>
            </w:r>
            <w:r>
              <w:rPr>
                <w:rFonts w:hint="eastAsia" w:hAnsi="宋体" w:cs="宋体"/>
                <w:sz w:val="24"/>
                <w:lang w:val="zh-TW"/>
              </w:rPr>
              <w:t>竞争性磋商</w:t>
            </w:r>
            <w:r>
              <w:rPr>
                <w:rFonts w:hint="eastAsia" w:hAnsi="宋体" w:cs="宋体"/>
                <w:sz w:val="24"/>
                <w:lang w:val="zh-TW" w:eastAsia="zh-TW"/>
              </w:rPr>
              <w:t>文件第</w:t>
            </w:r>
            <w:r>
              <w:rPr>
                <w:rFonts w:hint="eastAsia" w:hAnsi="宋体" w:cs="宋体"/>
                <w:sz w:val="24"/>
                <w:lang w:val="zh-TW"/>
              </w:rPr>
              <w:t>三</w:t>
            </w:r>
            <w:r>
              <w:rPr>
                <w:rFonts w:hint="eastAsia" w:hAnsi="宋体" w:cs="宋体"/>
                <w:sz w:val="24"/>
                <w:lang w:val="zh-TW" w:eastAsia="zh-TW"/>
              </w:rPr>
              <w:t>章《</w:t>
            </w:r>
            <w:r>
              <w:rPr>
                <w:rFonts w:hint="eastAsia" w:hAnsi="宋体" w:cs="宋体"/>
                <w:sz w:val="24"/>
              </w:rPr>
              <w:t>采购</w:t>
            </w:r>
            <w:r>
              <w:rPr>
                <w:rFonts w:hint="eastAsia" w:hAnsi="宋体" w:cs="宋体"/>
                <w:sz w:val="24"/>
                <w:lang w:val="zh-TW" w:eastAsia="zh-TW"/>
              </w:rPr>
              <w:t>需求书》中各项技术要求及服务要求的响应情况逐一响应，一项不满足或未响应的扣</w:t>
            </w:r>
            <w:r>
              <w:rPr>
                <w:rFonts w:hint="eastAsia" w:cs="宋体"/>
                <w:sz w:val="24"/>
                <w:lang w:val="en-US" w:eastAsia="zh-CN"/>
              </w:rPr>
              <w:t>3</w:t>
            </w:r>
            <w:r>
              <w:rPr>
                <w:rFonts w:hint="eastAsia" w:hAnsi="宋体" w:cs="宋体"/>
                <w:sz w:val="24"/>
                <w:lang w:val="zh-TW" w:eastAsia="zh-TW"/>
              </w:rPr>
              <w:t>分，扣完为止。</w:t>
            </w:r>
          </w:p>
          <w:p>
            <w:pPr>
              <w:spacing w:line="480" w:lineRule="exact"/>
              <w:rPr>
                <w:rFonts w:hAnsi="宋体" w:cs="宋体"/>
                <w:sz w:val="24"/>
                <w:lang w:val="zh-TW" w:eastAsia="zh-TW"/>
              </w:rPr>
            </w:pPr>
            <w:r>
              <w:rPr>
                <w:rFonts w:hint="eastAsia" w:hAnsi="宋体" w:cs="宋体"/>
                <w:sz w:val="24"/>
                <w:lang w:val="zh-TW" w:eastAsia="zh-TW"/>
              </w:rPr>
              <w:t>注：</w:t>
            </w:r>
            <w:r>
              <w:rPr>
                <w:rFonts w:hint="eastAsia" w:hAnsi="宋体" w:cs="宋体"/>
                <w:sz w:val="24"/>
                <w:lang w:val="zh-TW"/>
              </w:rPr>
              <w:t>竞争性磋商</w:t>
            </w:r>
            <w:r>
              <w:rPr>
                <w:rFonts w:hint="eastAsia" w:hAnsi="宋体" w:cs="宋体"/>
                <w:sz w:val="24"/>
                <w:lang w:val="zh-TW" w:eastAsia="zh-TW"/>
              </w:rPr>
              <w:t>文件中要求的技术要求及服务要求为基础要求，供应商投标响应优于或等于</w:t>
            </w:r>
            <w:r>
              <w:rPr>
                <w:rFonts w:hint="eastAsia" w:hAnsi="宋体" w:cs="宋体"/>
                <w:sz w:val="24"/>
                <w:lang w:val="zh-TW"/>
              </w:rPr>
              <w:t>竞争性磋商文件</w:t>
            </w:r>
            <w:r>
              <w:rPr>
                <w:rFonts w:hint="eastAsia" w:hAnsi="宋体" w:cs="宋体"/>
                <w:sz w:val="24"/>
                <w:lang w:val="zh-TW" w:eastAsia="zh-TW"/>
              </w:rPr>
              <w:t>中的技术</w:t>
            </w:r>
            <w:r>
              <w:rPr>
                <w:rFonts w:hint="eastAsia" w:hAnsi="宋体" w:cs="宋体"/>
                <w:sz w:val="24"/>
                <w:lang w:val="zh-TW"/>
              </w:rPr>
              <w:t>要求</w:t>
            </w:r>
            <w:r>
              <w:rPr>
                <w:rFonts w:hint="eastAsia" w:hAnsi="宋体" w:cs="宋体"/>
                <w:sz w:val="24"/>
                <w:lang w:val="zh-TW" w:eastAsia="zh-TW"/>
              </w:rPr>
              <w:t>均不扣分。</w:t>
            </w:r>
          </w:p>
        </w:tc>
        <w:tc>
          <w:tcPr>
            <w:tcW w:w="831" w:type="dxa"/>
            <w:vAlign w:val="center"/>
          </w:tcPr>
          <w:p>
            <w:pPr>
              <w:jc w:val="center"/>
              <w:rPr>
                <w:rFonts w:hAnsi="宋体" w:cs="宋体"/>
                <w:sz w:val="24"/>
              </w:rPr>
            </w:pPr>
            <w:r>
              <w:rPr>
                <w:rFonts w:hint="eastAsia" w:hAnsi="宋体" w:cs="宋体"/>
                <w:sz w:val="24"/>
                <w:lang w:val="en-US" w:eastAsia="zh-CN"/>
              </w:rPr>
              <w:t>15</w:t>
            </w:r>
            <w:r>
              <w:rPr>
                <w:rFonts w:hint="eastAsia"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665" w:type="dxa"/>
            <w:vMerge w:val="restart"/>
            <w:vAlign w:val="center"/>
          </w:tcPr>
          <w:p>
            <w:pPr>
              <w:jc w:val="center"/>
              <w:rPr>
                <w:rFonts w:hAnsi="宋体" w:cs="宋体"/>
                <w:bCs/>
                <w:sz w:val="24"/>
              </w:rPr>
            </w:pPr>
            <w:r>
              <w:rPr>
                <w:rFonts w:hint="eastAsia" w:hAnsi="宋体" w:cs="宋体"/>
                <w:bCs/>
                <w:sz w:val="24"/>
              </w:rPr>
              <w:t>2</w:t>
            </w:r>
          </w:p>
        </w:tc>
        <w:tc>
          <w:tcPr>
            <w:tcW w:w="1731" w:type="dxa"/>
            <w:vMerge w:val="restart"/>
            <w:vAlign w:val="center"/>
          </w:tcPr>
          <w:p>
            <w:pPr>
              <w:pStyle w:val="25"/>
              <w:spacing w:after="0" w:line="400" w:lineRule="exact"/>
              <w:ind w:left="0" w:leftChars="0" w:right="-10"/>
              <w:jc w:val="center"/>
              <w:rPr>
                <w:rFonts w:hAnsi="宋体" w:cs="宋体"/>
                <w:bCs/>
                <w:szCs w:val="24"/>
                <w:lang w:val="zh-CN"/>
              </w:rPr>
            </w:pPr>
            <w:r>
              <w:rPr>
                <w:rFonts w:hint="eastAsia" w:hAnsi="宋体" w:cs="宋体"/>
                <w:bCs/>
                <w:szCs w:val="24"/>
                <w:lang w:val="zh-TW"/>
              </w:rPr>
              <w:t>方案策划及实施方案</w:t>
            </w:r>
          </w:p>
        </w:tc>
        <w:tc>
          <w:tcPr>
            <w:tcW w:w="6611" w:type="dxa"/>
            <w:vAlign w:val="center"/>
          </w:tcPr>
          <w:p>
            <w:pPr>
              <w:numPr>
                <w:ilvl w:val="0"/>
                <w:numId w:val="4"/>
              </w:numPr>
              <w:spacing w:line="480" w:lineRule="exact"/>
              <w:rPr>
                <w:rFonts w:hint="eastAsia"/>
                <w:sz w:val="24"/>
              </w:rPr>
            </w:pPr>
            <w:r>
              <w:rPr>
                <w:sz w:val="24"/>
              </w:rPr>
              <w:t>项目理解：</w:t>
            </w:r>
            <w:r>
              <w:rPr>
                <w:rFonts w:hint="eastAsia"/>
                <w:sz w:val="24"/>
              </w:rPr>
              <w:t>对</w:t>
            </w:r>
            <w:r>
              <w:rPr>
                <w:sz w:val="24"/>
              </w:rPr>
              <w:t>招标项目的理解和</w:t>
            </w:r>
            <w:r>
              <w:rPr>
                <w:rFonts w:hint="eastAsia"/>
                <w:sz w:val="24"/>
              </w:rPr>
              <w:t>国家及</w:t>
            </w:r>
            <w:r>
              <w:rPr>
                <w:sz w:val="24"/>
              </w:rPr>
              <w:t>地方</w:t>
            </w:r>
            <w:r>
              <w:rPr>
                <w:rFonts w:hint="eastAsia"/>
                <w:sz w:val="24"/>
              </w:rPr>
              <w:t>政策</w:t>
            </w:r>
            <w:r>
              <w:rPr>
                <w:sz w:val="24"/>
              </w:rPr>
              <w:t>，相关规范的认识充足性，项目研判准确性，定位合理的前瞻性</w:t>
            </w:r>
            <w:r>
              <w:rPr>
                <w:rFonts w:hint="eastAsia"/>
                <w:sz w:val="24"/>
              </w:rPr>
              <w:t>。</w:t>
            </w:r>
            <w:r>
              <w:rPr>
                <w:sz w:val="24"/>
              </w:rPr>
              <w:t>优得4</w:t>
            </w:r>
            <w:r>
              <w:rPr>
                <w:rFonts w:hint="eastAsia"/>
                <w:sz w:val="24"/>
                <w:lang w:val="en-US" w:eastAsia="zh-CN"/>
              </w:rPr>
              <w:t>.1</w:t>
            </w:r>
            <w:r>
              <w:rPr>
                <w:sz w:val="24"/>
              </w:rPr>
              <w:t>～6分；良得2</w:t>
            </w:r>
            <w:r>
              <w:rPr>
                <w:rFonts w:hint="eastAsia"/>
                <w:sz w:val="24"/>
                <w:lang w:val="en-US" w:eastAsia="zh-CN"/>
              </w:rPr>
              <w:t>.1</w:t>
            </w:r>
            <w:r>
              <w:rPr>
                <w:sz w:val="24"/>
              </w:rPr>
              <w:t>～4分；一般得1～2分。</w:t>
            </w:r>
            <w:r>
              <w:rPr>
                <w:rFonts w:hint="eastAsia"/>
                <w:sz w:val="24"/>
              </w:rPr>
              <w:t>（满分</w:t>
            </w:r>
            <w:r>
              <w:rPr>
                <w:sz w:val="24"/>
              </w:rPr>
              <w:t>6</w:t>
            </w:r>
            <w:r>
              <w:rPr>
                <w:rFonts w:hint="eastAsia"/>
                <w:sz w:val="24"/>
              </w:rPr>
              <w:t>分）</w:t>
            </w:r>
          </w:p>
          <w:p>
            <w:pPr>
              <w:numPr>
                <w:ilvl w:val="0"/>
                <w:numId w:val="0"/>
              </w:numPr>
              <w:spacing w:line="480" w:lineRule="exact"/>
              <w:ind w:right="0" w:rightChars="0"/>
              <w:rPr>
                <w:rFonts w:hint="eastAsia" w:hAnsi="宋体" w:cs="宋体"/>
                <w:sz w:val="24"/>
                <w:lang w:val="zh-TW" w:eastAsia="zh-TW"/>
              </w:rPr>
            </w:pPr>
            <w:r>
              <w:rPr>
                <w:rFonts w:hint="eastAsia" w:ascii="宋体" w:hAnsi="宋体" w:eastAsia="宋体" w:cs="宋体"/>
                <w:b w:val="0"/>
                <w:bCs w:val="0"/>
                <w:sz w:val="24"/>
                <w:szCs w:val="22"/>
                <w:lang w:val="zh-CN" w:eastAsia="zh-CN" w:bidi="zh-CN"/>
              </w:rPr>
              <w:t>评标委员会根据上述方案内容综合评审打分。</w:t>
            </w:r>
          </w:p>
        </w:tc>
        <w:tc>
          <w:tcPr>
            <w:tcW w:w="831" w:type="dxa"/>
            <w:vAlign w:val="center"/>
          </w:tcPr>
          <w:p>
            <w:pPr>
              <w:jc w:val="center"/>
              <w:rPr>
                <w:rFonts w:hint="default" w:hAnsi="宋体" w:cs="宋体"/>
                <w:sz w:val="24"/>
                <w:lang w:val="en-US" w:eastAsia="zh-CN"/>
              </w:rPr>
            </w:pPr>
            <w:r>
              <w:rPr>
                <w:rFonts w:hint="eastAsia" w:cs="宋体"/>
                <w:sz w:val="24"/>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665" w:type="dxa"/>
            <w:vMerge w:val="continue"/>
            <w:vAlign w:val="center"/>
          </w:tcPr>
          <w:p>
            <w:pPr>
              <w:jc w:val="center"/>
              <w:rPr>
                <w:rFonts w:hint="eastAsia" w:hAnsi="宋体" w:cs="宋体"/>
                <w:bCs/>
                <w:sz w:val="24"/>
              </w:rPr>
            </w:pPr>
          </w:p>
        </w:tc>
        <w:tc>
          <w:tcPr>
            <w:tcW w:w="1731" w:type="dxa"/>
            <w:vMerge w:val="continue"/>
            <w:vAlign w:val="center"/>
          </w:tcPr>
          <w:p>
            <w:pPr>
              <w:pStyle w:val="25"/>
              <w:spacing w:after="0" w:line="400" w:lineRule="exact"/>
              <w:ind w:left="0" w:leftChars="0" w:right="-10"/>
              <w:jc w:val="center"/>
              <w:rPr>
                <w:rFonts w:hint="eastAsia" w:hAnsi="宋体" w:cs="宋体"/>
                <w:bCs/>
                <w:szCs w:val="24"/>
              </w:rPr>
            </w:pPr>
          </w:p>
        </w:tc>
        <w:tc>
          <w:tcPr>
            <w:tcW w:w="6611" w:type="dxa"/>
            <w:vAlign w:val="center"/>
          </w:tcPr>
          <w:p>
            <w:pPr>
              <w:numPr>
                <w:ilvl w:val="0"/>
                <w:numId w:val="0"/>
              </w:numPr>
              <w:spacing w:line="400" w:lineRule="exact"/>
              <w:ind w:right="0" w:rightChars="0"/>
              <w:rPr>
                <w:rFonts w:hint="eastAsia"/>
                <w:sz w:val="24"/>
              </w:rPr>
            </w:pPr>
            <w:r>
              <w:rPr>
                <w:rFonts w:hint="eastAsia"/>
                <w:sz w:val="24"/>
                <w:lang w:val="en-US" w:eastAsia="zh-CN"/>
              </w:rPr>
              <w:t>2、</w:t>
            </w:r>
            <w:r>
              <w:rPr>
                <w:rFonts w:hint="eastAsia"/>
                <w:sz w:val="24"/>
              </w:rPr>
              <w:t>基础分析</w:t>
            </w:r>
            <w:r>
              <w:rPr>
                <w:sz w:val="24"/>
              </w:rPr>
              <w:t>：</w:t>
            </w:r>
            <w:r>
              <w:rPr>
                <w:rFonts w:hint="eastAsia"/>
                <w:sz w:val="24"/>
              </w:rPr>
              <w:t>对</w:t>
            </w:r>
            <w:r>
              <w:rPr>
                <w:sz w:val="24"/>
              </w:rPr>
              <w:t>项目现状基础条件的</w:t>
            </w:r>
            <w:r>
              <w:rPr>
                <w:rFonts w:hint="eastAsia"/>
                <w:sz w:val="24"/>
              </w:rPr>
              <w:t>分析</w:t>
            </w:r>
            <w:r>
              <w:rPr>
                <w:sz w:val="24"/>
              </w:rPr>
              <w:t>研究</w:t>
            </w:r>
            <w:r>
              <w:rPr>
                <w:rFonts w:hint="eastAsia"/>
                <w:sz w:val="24"/>
              </w:rPr>
              <w:t>。优得4</w:t>
            </w:r>
            <w:r>
              <w:rPr>
                <w:rFonts w:hint="eastAsia"/>
                <w:sz w:val="24"/>
                <w:lang w:val="en-US" w:eastAsia="zh-CN"/>
              </w:rPr>
              <w:t>.1</w:t>
            </w:r>
            <w:r>
              <w:rPr>
                <w:rFonts w:hint="eastAsia"/>
                <w:sz w:val="24"/>
              </w:rPr>
              <w:t>～6分；良得2</w:t>
            </w:r>
            <w:r>
              <w:rPr>
                <w:rFonts w:hint="eastAsia"/>
                <w:sz w:val="24"/>
                <w:lang w:val="en-US" w:eastAsia="zh-CN"/>
              </w:rPr>
              <w:t>.1</w:t>
            </w:r>
            <w:r>
              <w:rPr>
                <w:rFonts w:hint="eastAsia"/>
                <w:sz w:val="24"/>
              </w:rPr>
              <w:t>～4分；一般得1～2分。（满分6分）</w:t>
            </w:r>
          </w:p>
          <w:p>
            <w:pPr>
              <w:numPr>
                <w:ilvl w:val="0"/>
                <w:numId w:val="0"/>
              </w:numPr>
              <w:spacing w:line="400" w:lineRule="exact"/>
              <w:ind w:right="0" w:rightChars="0"/>
              <w:rPr>
                <w:rFonts w:hint="eastAsia" w:hAnsi="宋体" w:cs="宋体"/>
                <w:sz w:val="24"/>
                <w:lang w:val="zh-TW" w:eastAsia="zh-TW"/>
              </w:rPr>
            </w:pPr>
            <w:r>
              <w:rPr>
                <w:rFonts w:hint="eastAsia" w:ascii="宋体" w:hAnsi="宋体" w:eastAsia="宋体" w:cs="宋体"/>
                <w:b w:val="0"/>
                <w:bCs w:val="0"/>
                <w:sz w:val="24"/>
                <w:szCs w:val="22"/>
                <w:lang w:val="zh-CN" w:eastAsia="zh-CN" w:bidi="zh-CN"/>
              </w:rPr>
              <w:t>评标委员会根据上述方案内容综合评审打分。</w:t>
            </w:r>
          </w:p>
        </w:tc>
        <w:tc>
          <w:tcPr>
            <w:tcW w:w="831" w:type="dxa"/>
            <w:vAlign w:val="center"/>
          </w:tcPr>
          <w:p>
            <w:pPr>
              <w:jc w:val="center"/>
              <w:rPr>
                <w:rFonts w:hint="default" w:hAnsi="宋体" w:cs="宋体"/>
                <w:sz w:val="24"/>
                <w:lang w:val="en-US" w:eastAsia="zh-CN"/>
              </w:rPr>
            </w:pPr>
            <w:r>
              <w:rPr>
                <w:rFonts w:hint="eastAsia" w:cs="宋体"/>
                <w:sz w:val="24"/>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665" w:type="dxa"/>
            <w:vMerge w:val="continue"/>
            <w:vAlign w:val="center"/>
          </w:tcPr>
          <w:p>
            <w:pPr>
              <w:jc w:val="center"/>
              <w:rPr>
                <w:rFonts w:hint="eastAsia" w:hAnsi="宋体" w:cs="宋体"/>
                <w:bCs/>
                <w:sz w:val="24"/>
              </w:rPr>
            </w:pPr>
          </w:p>
        </w:tc>
        <w:tc>
          <w:tcPr>
            <w:tcW w:w="1731" w:type="dxa"/>
            <w:vMerge w:val="continue"/>
            <w:vAlign w:val="center"/>
          </w:tcPr>
          <w:p>
            <w:pPr>
              <w:pStyle w:val="25"/>
              <w:spacing w:after="0" w:line="400" w:lineRule="exact"/>
              <w:ind w:left="0" w:leftChars="0" w:right="-10"/>
              <w:jc w:val="center"/>
              <w:rPr>
                <w:rFonts w:hint="eastAsia" w:hAnsi="宋体" w:cs="宋体"/>
                <w:bCs/>
                <w:szCs w:val="24"/>
                <w:lang w:val="zh-TW"/>
              </w:rPr>
            </w:pPr>
          </w:p>
        </w:tc>
        <w:tc>
          <w:tcPr>
            <w:tcW w:w="6611" w:type="dxa"/>
            <w:vAlign w:val="center"/>
          </w:tcPr>
          <w:p>
            <w:pPr>
              <w:numPr>
                <w:ilvl w:val="0"/>
                <w:numId w:val="0"/>
              </w:numPr>
              <w:spacing w:line="400" w:lineRule="exact"/>
              <w:ind w:right="0" w:rightChars="0"/>
              <w:rPr>
                <w:rFonts w:hint="eastAsia"/>
                <w:sz w:val="24"/>
              </w:rPr>
            </w:pPr>
            <w:r>
              <w:rPr>
                <w:rFonts w:hint="eastAsia"/>
                <w:sz w:val="24"/>
                <w:lang w:val="en-US" w:eastAsia="zh-CN"/>
              </w:rPr>
              <w:t>3、</w:t>
            </w:r>
            <w:r>
              <w:rPr>
                <w:rFonts w:hint="eastAsia"/>
                <w:sz w:val="24"/>
              </w:rPr>
              <w:t>重点及</w:t>
            </w:r>
            <w:r>
              <w:rPr>
                <w:sz w:val="24"/>
              </w:rPr>
              <w:t>对策：理解本项目设计的重点问题，并能提出有效的对策措施</w:t>
            </w:r>
            <w:r>
              <w:rPr>
                <w:rFonts w:hint="eastAsia"/>
                <w:sz w:val="24"/>
              </w:rPr>
              <w:t>。优得4</w:t>
            </w:r>
            <w:r>
              <w:rPr>
                <w:rFonts w:hint="eastAsia"/>
                <w:sz w:val="24"/>
                <w:lang w:val="en-US" w:eastAsia="zh-CN"/>
              </w:rPr>
              <w:t>.1</w:t>
            </w:r>
            <w:r>
              <w:rPr>
                <w:rFonts w:hint="eastAsia"/>
                <w:sz w:val="24"/>
              </w:rPr>
              <w:t>～6分；良得2</w:t>
            </w:r>
            <w:r>
              <w:rPr>
                <w:rFonts w:hint="eastAsia"/>
                <w:sz w:val="24"/>
                <w:lang w:val="en-US" w:eastAsia="zh-CN"/>
              </w:rPr>
              <w:t>.1</w:t>
            </w:r>
            <w:r>
              <w:rPr>
                <w:rFonts w:hint="eastAsia"/>
                <w:sz w:val="24"/>
              </w:rPr>
              <w:t>～4分；一般得1～2分。（满分6分）</w:t>
            </w:r>
          </w:p>
          <w:p>
            <w:pPr>
              <w:numPr>
                <w:ilvl w:val="0"/>
                <w:numId w:val="0"/>
              </w:numPr>
              <w:spacing w:line="400" w:lineRule="exact"/>
              <w:ind w:right="0" w:rightChars="0"/>
              <w:rPr>
                <w:rFonts w:hint="eastAsia"/>
                <w:sz w:val="24"/>
              </w:rPr>
            </w:pPr>
            <w:r>
              <w:rPr>
                <w:rFonts w:hint="eastAsia" w:ascii="宋体" w:hAnsi="宋体" w:eastAsia="宋体" w:cs="宋体"/>
                <w:b w:val="0"/>
                <w:bCs w:val="0"/>
                <w:sz w:val="24"/>
                <w:szCs w:val="22"/>
                <w:lang w:val="zh-CN" w:eastAsia="zh-CN" w:bidi="zh-CN"/>
              </w:rPr>
              <w:t>评标委员会根据上述方案内容综合评审打分。</w:t>
            </w:r>
          </w:p>
        </w:tc>
        <w:tc>
          <w:tcPr>
            <w:tcW w:w="831" w:type="dxa"/>
            <w:vAlign w:val="center"/>
          </w:tcPr>
          <w:p>
            <w:pPr>
              <w:jc w:val="center"/>
              <w:rPr>
                <w:rFonts w:hint="default" w:hAnsi="宋体" w:cs="宋体"/>
                <w:sz w:val="24"/>
                <w:lang w:val="en-US" w:eastAsia="zh-CN"/>
              </w:rPr>
            </w:pPr>
            <w:r>
              <w:rPr>
                <w:rFonts w:hint="eastAsia" w:cs="宋体"/>
                <w:sz w:val="24"/>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65" w:type="dxa"/>
            <w:vMerge w:val="continue"/>
            <w:vAlign w:val="center"/>
          </w:tcPr>
          <w:p>
            <w:pPr>
              <w:jc w:val="center"/>
              <w:rPr>
                <w:rFonts w:hAnsi="宋体" w:cs="宋体"/>
                <w:bCs/>
                <w:sz w:val="24"/>
              </w:rPr>
            </w:pPr>
          </w:p>
        </w:tc>
        <w:tc>
          <w:tcPr>
            <w:tcW w:w="1731" w:type="dxa"/>
            <w:vMerge w:val="continue"/>
            <w:vAlign w:val="center"/>
          </w:tcPr>
          <w:p>
            <w:pPr>
              <w:pStyle w:val="25"/>
              <w:spacing w:after="0" w:line="400" w:lineRule="exact"/>
              <w:ind w:left="0" w:leftChars="0" w:right="-10"/>
              <w:jc w:val="center"/>
              <w:rPr>
                <w:rFonts w:hAnsi="宋体" w:cs="宋体"/>
                <w:bCs/>
                <w:szCs w:val="24"/>
                <w:lang w:val="zh-CN"/>
              </w:rPr>
            </w:pPr>
          </w:p>
        </w:tc>
        <w:tc>
          <w:tcPr>
            <w:tcW w:w="6611" w:type="dxa"/>
            <w:vAlign w:val="center"/>
          </w:tcPr>
          <w:p>
            <w:pPr>
              <w:numPr>
                <w:ilvl w:val="0"/>
                <w:numId w:val="0"/>
              </w:numPr>
              <w:spacing w:line="400" w:lineRule="exact"/>
              <w:ind w:right="0" w:rightChars="0"/>
            </w:pPr>
            <w:r>
              <w:rPr>
                <w:rFonts w:hint="eastAsia"/>
                <w:lang w:val="en-US" w:eastAsia="zh-CN"/>
              </w:rPr>
              <w:t>4、</w:t>
            </w:r>
            <w:r>
              <w:t>设计思路：总体设计思路清晰、可行</w:t>
            </w:r>
            <w:r>
              <w:rPr>
                <w:rFonts w:hint="eastAsia"/>
              </w:rPr>
              <w:t>。</w:t>
            </w:r>
            <w:r>
              <w:t>优得</w:t>
            </w:r>
            <w:r>
              <w:rPr>
                <w:rFonts w:hint="eastAsia"/>
              </w:rPr>
              <w:t>8</w:t>
            </w:r>
            <w:r>
              <w:rPr>
                <w:rFonts w:hint="eastAsia"/>
                <w:lang w:val="en-US" w:eastAsia="zh-CN"/>
              </w:rPr>
              <w:t>.1</w:t>
            </w:r>
            <w:r>
              <w:t>～10分；良得</w:t>
            </w:r>
            <w:r>
              <w:rPr>
                <w:rFonts w:hint="eastAsia"/>
              </w:rPr>
              <w:t>4</w:t>
            </w:r>
            <w:r>
              <w:rPr>
                <w:rFonts w:hint="eastAsia"/>
                <w:lang w:val="en-US" w:eastAsia="zh-CN"/>
              </w:rPr>
              <w:t>.1</w:t>
            </w:r>
            <w:r>
              <w:t>～</w:t>
            </w:r>
            <w:r>
              <w:rPr>
                <w:rFonts w:hint="eastAsia"/>
              </w:rPr>
              <w:t>8</w:t>
            </w:r>
            <w:r>
              <w:t>分；一般得1～4分。</w:t>
            </w:r>
            <w:r>
              <w:rPr>
                <w:rFonts w:hint="eastAsia"/>
              </w:rPr>
              <w:t>（满分</w:t>
            </w:r>
            <w:r>
              <w:t>10</w:t>
            </w:r>
            <w:r>
              <w:rPr>
                <w:rFonts w:hint="eastAsia"/>
              </w:rPr>
              <w:t>分）</w:t>
            </w:r>
          </w:p>
          <w:p>
            <w:pPr>
              <w:numPr>
                <w:ilvl w:val="0"/>
                <w:numId w:val="0"/>
              </w:numPr>
              <w:spacing w:line="400" w:lineRule="exact"/>
              <w:ind w:right="0" w:rightChars="0"/>
            </w:pPr>
            <w:r>
              <w:rPr>
                <w:rFonts w:hint="eastAsia" w:ascii="宋体" w:hAnsi="宋体" w:eastAsia="宋体" w:cs="宋体"/>
                <w:b w:val="0"/>
                <w:bCs w:val="0"/>
                <w:sz w:val="24"/>
                <w:szCs w:val="22"/>
                <w:lang w:val="zh-CN" w:eastAsia="zh-CN" w:bidi="zh-CN"/>
              </w:rPr>
              <w:t>评标委员会根据上述方案内容综合评审打分。</w:t>
            </w:r>
          </w:p>
        </w:tc>
        <w:tc>
          <w:tcPr>
            <w:tcW w:w="831" w:type="dxa"/>
            <w:vAlign w:val="center"/>
          </w:tcPr>
          <w:p>
            <w:pPr>
              <w:jc w:val="center"/>
              <w:rPr>
                <w:rFonts w:hAnsi="宋体" w:cs="宋体"/>
                <w:sz w:val="24"/>
              </w:rPr>
            </w:pPr>
            <w:r>
              <w:rPr>
                <w:rFonts w:hint="eastAsia" w:cs="宋体"/>
                <w:sz w:val="24"/>
                <w:lang w:val="en-US" w:eastAsia="zh-CN"/>
              </w:rPr>
              <w:t>6</w:t>
            </w:r>
            <w:r>
              <w:rPr>
                <w:rFonts w:hint="eastAsia"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65" w:type="dxa"/>
            <w:vMerge w:val="continue"/>
            <w:vAlign w:val="center"/>
          </w:tcPr>
          <w:p>
            <w:pPr>
              <w:jc w:val="center"/>
              <w:rPr>
                <w:rFonts w:hint="eastAsia" w:hAnsi="宋体" w:cs="宋体"/>
                <w:bCs/>
                <w:sz w:val="24"/>
              </w:rPr>
            </w:pPr>
          </w:p>
        </w:tc>
        <w:tc>
          <w:tcPr>
            <w:tcW w:w="1731" w:type="dxa"/>
            <w:vMerge w:val="continue"/>
            <w:vAlign w:val="center"/>
          </w:tcPr>
          <w:p>
            <w:pPr>
              <w:pStyle w:val="25"/>
              <w:spacing w:after="0" w:line="400" w:lineRule="exact"/>
              <w:ind w:left="0" w:leftChars="0" w:right="-10"/>
              <w:jc w:val="center"/>
              <w:rPr>
                <w:rFonts w:hint="eastAsia" w:hAnsi="宋体" w:cs="宋体"/>
                <w:bCs/>
                <w:szCs w:val="24"/>
                <w:lang w:val="zh-TW"/>
              </w:rPr>
            </w:pPr>
          </w:p>
        </w:tc>
        <w:tc>
          <w:tcPr>
            <w:tcW w:w="6611" w:type="dxa"/>
            <w:vAlign w:val="center"/>
          </w:tcPr>
          <w:p>
            <w:pPr>
              <w:pStyle w:val="4"/>
              <w:numPr>
                <w:ilvl w:val="0"/>
                <w:numId w:val="0"/>
              </w:numPr>
              <w:ind w:leftChars="0" w:right="0" w:rightChars="0"/>
              <w:jc w:val="both"/>
              <w:rPr>
                <w:rFonts w:hint="eastAsia" w:ascii="宋体" w:hAnsi="宋体" w:eastAsia="宋体" w:cs="宋体"/>
                <w:b w:val="0"/>
                <w:bCs w:val="0"/>
                <w:sz w:val="24"/>
                <w:szCs w:val="22"/>
                <w:lang w:val="zh-CN" w:eastAsia="zh-CN" w:bidi="zh-CN"/>
              </w:rPr>
            </w:pPr>
            <w:r>
              <w:rPr>
                <w:rFonts w:hint="eastAsia" w:cs="宋体"/>
                <w:b w:val="0"/>
                <w:bCs w:val="0"/>
                <w:sz w:val="24"/>
                <w:szCs w:val="22"/>
                <w:lang w:val="en-US" w:eastAsia="zh-CN" w:bidi="zh-CN"/>
              </w:rPr>
              <w:t>5、</w:t>
            </w:r>
            <w:r>
              <w:rPr>
                <w:rFonts w:hint="eastAsia" w:ascii="宋体" w:hAnsi="宋体" w:eastAsia="宋体" w:cs="宋体"/>
                <w:b w:val="0"/>
                <w:bCs w:val="0"/>
                <w:sz w:val="24"/>
                <w:szCs w:val="22"/>
                <w:lang w:val="en-US" w:eastAsia="zh-CN" w:bidi="zh-CN"/>
              </w:rPr>
              <w:t>工作进度安排及质量保障。</w:t>
            </w:r>
            <w:r>
              <w:rPr>
                <w:rFonts w:hint="eastAsia" w:ascii="宋体" w:hAnsi="宋体" w:eastAsia="宋体" w:cs="宋体"/>
                <w:b w:val="0"/>
                <w:bCs w:val="0"/>
                <w:sz w:val="24"/>
                <w:szCs w:val="22"/>
                <w:lang w:val="zh-CN" w:eastAsia="zh-CN" w:bidi="zh-CN"/>
              </w:rPr>
              <w:t>优得4</w:t>
            </w:r>
            <w:r>
              <w:rPr>
                <w:rFonts w:hint="eastAsia" w:ascii="宋体" w:hAnsi="宋体" w:eastAsia="宋体" w:cs="宋体"/>
                <w:b w:val="0"/>
                <w:bCs w:val="0"/>
                <w:sz w:val="24"/>
                <w:szCs w:val="22"/>
                <w:lang w:val="en-US" w:eastAsia="zh-CN" w:bidi="zh-CN"/>
              </w:rPr>
              <w:t>.1</w:t>
            </w:r>
            <w:r>
              <w:rPr>
                <w:rFonts w:hint="eastAsia" w:ascii="宋体" w:hAnsi="宋体" w:eastAsia="宋体" w:cs="宋体"/>
                <w:b w:val="0"/>
                <w:bCs w:val="0"/>
                <w:sz w:val="24"/>
                <w:szCs w:val="22"/>
                <w:lang w:val="zh-CN" w:eastAsia="zh-CN" w:bidi="zh-CN"/>
              </w:rPr>
              <w:t>～6分；良得2</w:t>
            </w:r>
            <w:r>
              <w:rPr>
                <w:rFonts w:hint="eastAsia" w:ascii="宋体" w:hAnsi="宋体" w:eastAsia="宋体" w:cs="宋体"/>
                <w:b w:val="0"/>
                <w:bCs w:val="0"/>
                <w:sz w:val="24"/>
                <w:szCs w:val="22"/>
                <w:lang w:val="en-US" w:eastAsia="zh-CN" w:bidi="zh-CN"/>
              </w:rPr>
              <w:t>.1</w:t>
            </w:r>
            <w:r>
              <w:rPr>
                <w:rFonts w:hint="eastAsia" w:ascii="宋体" w:hAnsi="宋体" w:eastAsia="宋体" w:cs="宋体"/>
                <w:b w:val="0"/>
                <w:bCs w:val="0"/>
                <w:sz w:val="24"/>
                <w:szCs w:val="22"/>
                <w:lang w:val="zh-CN" w:eastAsia="zh-CN" w:bidi="zh-CN"/>
              </w:rPr>
              <w:t>～4分；一般得1～2分。（满分6分）</w:t>
            </w:r>
          </w:p>
          <w:p>
            <w:pPr>
              <w:pStyle w:val="4"/>
              <w:numPr>
                <w:ilvl w:val="0"/>
                <w:numId w:val="0"/>
              </w:numPr>
              <w:ind w:leftChars="0" w:right="0" w:rightChars="0"/>
              <w:jc w:val="both"/>
              <w:rPr>
                <w:rFonts w:hint="eastAsia"/>
                <w:sz w:val="24"/>
              </w:rPr>
            </w:pPr>
            <w:r>
              <w:rPr>
                <w:rFonts w:hint="eastAsia" w:ascii="宋体" w:hAnsi="宋体" w:eastAsia="宋体" w:cs="宋体"/>
                <w:b w:val="0"/>
                <w:bCs w:val="0"/>
                <w:sz w:val="24"/>
                <w:szCs w:val="22"/>
                <w:lang w:val="zh-CN" w:eastAsia="zh-CN" w:bidi="zh-CN"/>
              </w:rPr>
              <w:t>评标委员会根据上述方案内容综合评审打分。</w:t>
            </w:r>
          </w:p>
        </w:tc>
        <w:tc>
          <w:tcPr>
            <w:tcW w:w="831" w:type="dxa"/>
            <w:vAlign w:val="center"/>
          </w:tcPr>
          <w:p>
            <w:pPr>
              <w:jc w:val="center"/>
              <w:rPr>
                <w:rFonts w:hint="default" w:hAnsi="宋体" w:cs="宋体"/>
                <w:sz w:val="24"/>
                <w:lang w:val="en-US" w:eastAsia="zh-CN"/>
              </w:rPr>
            </w:pPr>
            <w:r>
              <w:rPr>
                <w:rFonts w:hint="eastAsia" w:cs="宋体"/>
                <w:sz w:val="24"/>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665" w:type="dxa"/>
            <w:vMerge w:val="continue"/>
            <w:vAlign w:val="center"/>
          </w:tcPr>
          <w:p>
            <w:pPr>
              <w:jc w:val="center"/>
              <w:rPr>
                <w:rFonts w:hint="eastAsia" w:hAnsi="宋体" w:cs="宋体"/>
                <w:bCs/>
                <w:sz w:val="24"/>
              </w:rPr>
            </w:pPr>
          </w:p>
        </w:tc>
        <w:tc>
          <w:tcPr>
            <w:tcW w:w="1731" w:type="dxa"/>
            <w:vMerge w:val="continue"/>
            <w:vAlign w:val="center"/>
          </w:tcPr>
          <w:p>
            <w:pPr>
              <w:pStyle w:val="25"/>
              <w:spacing w:after="0" w:line="400" w:lineRule="exact"/>
              <w:ind w:left="0" w:leftChars="0" w:right="-10"/>
              <w:jc w:val="center"/>
              <w:rPr>
                <w:rFonts w:hint="eastAsia" w:hAnsi="宋体" w:cs="宋体"/>
                <w:bCs/>
                <w:szCs w:val="24"/>
                <w:lang w:val="zh-TW"/>
              </w:rPr>
            </w:pPr>
          </w:p>
        </w:tc>
        <w:tc>
          <w:tcPr>
            <w:tcW w:w="6611" w:type="dxa"/>
            <w:vAlign w:val="center"/>
          </w:tcPr>
          <w:p>
            <w:pPr>
              <w:numPr>
                <w:ilvl w:val="0"/>
                <w:numId w:val="5"/>
              </w:numPr>
              <w:spacing w:line="480" w:lineRule="exact"/>
              <w:rPr>
                <w:rFonts w:hint="eastAsia"/>
                <w:sz w:val="24"/>
              </w:rPr>
            </w:pPr>
            <w:r>
              <w:rPr>
                <w:sz w:val="24"/>
              </w:rPr>
              <w:t>合理化建议：对项目提出合理保障措施</w:t>
            </w:r>
            <w:r>
              <w:rPr>
                <w:rFonts w:hint="eastAsia"/>
                <w:sz w:val="24"/>
              </w:rPr>
              <w:t>。</w:t>
            </w:r>
            <w:r>
              <w:rPr>
                <w:sz w:val="24"/>
              </w:rPr>
              <w:t>优得</w:t>
            </w:r>
            <w:r>
              <w:rPr>
                <w:rFonts w:hint="eastAsia"/>
                <w:sz w:val="24"/>
                <w:lang w:val="en-US" w:eastAsia="zh-CN"/>
              </w:rPr>
              <w:t>5</w:t>
            </w:r>
            <w:r>
              <w:rPr>
                <w:sz w:val="24"/>
              </w:rPr>
              <w:t>分，良得2</w:t>
            </w:r>
            <w:r>
              <w:rPr>
                <w:rFonts w:hint="eastAsia"/>
                <w:sz w:val="24"/>
                <w:lang w:val="en-US" w:eastAsia="zh-CN"/>
              </w:rPr>
              <w:t>.1</w:t>
            </w:r>
            <w:r>
              <w:rPr>
                <w:sz w:val="24"/>
              </w:rPr>
              <w:t>～</w:t>
            </w:r>
            <w:r>
              <w:rPr>
                <w:rFonts w:hint="eastAsia"/>
                <w:sz w:val="24"/>
                <w:lang w:val="en-US" w:eastAsia="zh-CN"/>
              </w:rPr>
              <w:t>4</w:t>
            </w:r>
            <w:r>
              <w:rPr>
                <w:sz w:val="24"/>
              </w:rPr>
              <w:t>分，一般得1～2分。</w:t>
            </w:r>
            <w:r>
              <w:rPr>
                <w:rFonts w:hint="eastAsia"/>
                <w:sz w:val="24"/>
              </w:rPr>
              <w:t>（满分</w:t>
            </w:r>
            <w:r>
              <w:rPr>
                <w:rFonts w:hint="eastAsia"/>
                <w:sz w:val="24"/>
                <w:lang w:val="en-US" w:eastAsia="zh-CN"/>
              </w:rPr>
              <w:t>5</w:t>
            </w:r>
            <w:r>
              <w:rPr>
                <w:rFonts w:hint="eastAsia"/>
                <w:sz w:val="24"/>
              </w:rPr>
              <w:t>分）</w:t>
            </w:r>
          </w:p>
          <w:p>
            <w:pPr>
              <w:numPr>
                <w:ilvl w:val="0"/>
                <w:numId w:val="0"/>
              </w:numPr>
              <w:spacing w:line="480" w:lineRule="exact"/>
              <w:ind w:right="0" w:rightChars="0"/>
              <w:rPr>
                <w:rFonts w:hint="eastAsia"/>
                <w:sz w:val="24"/>
              </w:rPr>
            </w:pPr>
            <w:r>
              <w:rPr>
                <w:rFonts w:hint="eastAsia"/>
                <w:sz w:val="24"/>
              </w:rPr>
              <w:t>评标委员会根据上述方案内容综合评审打分。</w:t>
            </w:r>
          </w:p>
        </w:tc>
        <w:tc>
          <w:tcPr>
            <w:tcW w:w="831" w:type="dxa"/>
            <w:vAlign w:val="center"/>
          </w:tcPr>
          <w:p>
            <w:pPr>
              <w:jc w:val="center"/>
              <w:rPr>
                <w:rFonts w:hint="default" w:hAnsi="宋体" w:cs="宋体"/>
                <w:sz w:val="24"/>
                <w:lang w:val="en-US" w:eastAsia="zh-CN"/>
              </w:rPr>
            </w:pPr>
            <w:r>
              <w:rPr>
                <w:rFonts w:hint="eastAsia" w:cs="宋体"/>
                <w:sz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9838" w:type="dxa"/>
            <w:gridSpan w:val="4"/>
            <w:vAlign w:val="center"/>
          </w:tcPr>
          <w:p>
            <w:pPr>
              <w:jc w:val="center"/>
              <w:rPr>
                <w:rFonts w:hAnsi="宋体" w:cs="宋体"/>
                <w:b/>
                <w:bCs/>
                <w:sz w:val="24"/>
              </w:rPr>
            </w:pPr>
            <w:r>
              <w:rPr>
                <w:rFonts w:hint="eastAsia" w:hAnsi="宋体" w:cs="宋体"/>
                <w:b/>
                <w:bCs/>
                <w:sz w:val="24"/>
              </w:rPr>
              <w:t>商务部分（</w:t>
            </w:r>
            <w:r>
              <w:rPr>
                <w:rFonts w:hint="eastAsia" w:cs="宋体"/>
                <w:b/>
                <w:bCs/>
                <w:sz w:val="24"/>
                <w:lang w:val="en-US" w:eastAsia="zh-CN"/>
              </w:rPr>
              <w:t>40</w:t>
            </w:r>
            <w:r>
              <w:rPr>
                <w:rFonts w:hint="eastAsia" w:hAnsi="宋体" w:cs="宋体"/>
                <w:b/>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665" w:type="dxa"/>
            <w:vAlign w:val="center"/>
          </w:tcPr>
          <w:p>
            <w:pPr>
              <w:jc w:val="center"/>
              <w:rPr>
                <w:rFonts w:hint="eastAsia" w:hAnsi="宋体" w:eastAsia="宋体" w:cs="宋体"/>
                <w:bCs/>
                <w:sz w:val="24"/>
                <w:lang w:eastAsia="zh-CN"/>
              </w:rPr>
            </w:pPr>
            <w:r>
              <w:rPr>
                <w:rFonts w:hint="eastAsia" w:cs="宋体"/>
                <w:bCs/>
                <w:sz w:val="24"/>
                <w:lang w:val="en-US" w:eastAsia="zh-CN"/>
              </w:rPr>
              <w:t>3</w:t>
            </w:r>
          </w:p>
        </w:tc>
        <w:tc>
          <w:tcPr>
            <w:tcW w:w="1731" w:type="dxa"/>
            <w:vAlign w:val="center"/>
          </w:tcPr>
          <w:p>
            <w:pPr>
              <w:jc w:val="center"/>
              <w:rPr>
                <w:rFonts w:hAnsi="宋体" w:cs="宋体"/>
                <w:sz w:val="24"/>
              </w:rPr>
            </w:pPr>
            <w:r>
              <w:rPr>
                <w:rFonts w:hint="eastAsia" w:hAnsi="宋体" w:cs="宋体"/>
                <w:sz w:val="24"/>
              </w:rPr>
              <w:t>供应商综合实力</w:t>
            </w:r>
          </w:p>
        </w:tc>
        <w:tc>
          <w:tcPr>
            <w:tcW w:w="6611" w:type="dxa"/>
            <w:vAlign w:val="center"/>
          </w:tcPr>
          <w:p>
            <w:pPr>
              <w:spacing w:line="480" w:lineRule="exact"/>
              <w:rPr>
                <w:sz w:val="24"/>
              </w:rPr>
            </w:pPr>
            <w:r>
              <w:rPr>
                <w:rFonts w:hint="eastAsia"/>
                <w:sz w:val="24"/>
              </w:rPr>
              <w:t>1、</w:t>
            </w:r>
            <w:r>
              <w:rPr>
                <w:sz w:val="24"/>
              </w:rPr>
              <w:t>201</w:t>
            </w:r>
            <w:r>
              <w:rPr>
                <w:rFonts w:hint="eastAsia"/>
                <w:sz w:val="24"/>
              </w:rPr>
              <w:t>7</w:t>
            </w:r>
            <w:r>
              <w:rPr>
                <w:sz w:val="24"/>
              </w:rPr>
              <w:t>年至今</w:t>
            </w:r>
            <w:r>
              <w:rPr>
                <w:rFonts w:hint="eastAsia"/>
                <w:sz w:val="24"/>
                <w:lang w:val="zh-TW"/>
              </w:rPr>
              <w:t>供应商所承接的专项规划或保护规划项目，</w:t>
            </w:r>
            <w:r>
              <w:rPr>
                <w:sz w:val="24"/>
              </w:rPr>
              <w:t>获得省（部）级及以</w:t>
            </w:r>
            <w:r>
              <w:rPr>
                <w:rFonts w:hint="eastAsia"/>
                <w:sz w:val="24"/>
              </w:rPr>
              <w:t>上</w:t>
            </w:r>
            <w:r>
              <w:rPr>
                <w:sz w:val="24"/>
              </w:rPr>
              <w:t>奖项的，每个得</w:t>
            </w:r>
            <w:r>
              <w:rPr>
                <w:rFonts w:hint="eastAsia"/>
                <w:sz w:val="24"/>
              </w:rPr>
              <w:t>2</w:t>
            </w:r>
            <w:r>
              <w:rPr>
                <w:sz w:val="24"/>
              </w:rPr>
              <w:t>分，满分</w:t>
            </w:r>
            <w:r>
              <w:rPr>
                <w:rFonts w:hint="eastAsia"/>
                <w:sz w:val="24"/>
              </w:rPr>
              <w:t>4</w:t>
            </w:r>
            <w:r>
              <w:rPr>
                <w:sz w:val="24"/>
              </w:rPr>
              <w:t>分</w:t>
            </w:r>
            <w:r>
              <w:rPr>
                <w:rFonts w:hint="eastAsia"/>
                <w:sz w:val="24"/>
              </w:rPr>
              <w:t>。</w:t>
            </w:r>
          </w:p>
          <w:p>
            <w:pPr>
              <w:spacing w:line="480" w:lineRule="exact"/>
              <w:rPr>
                <w:sz w:val="24"/>
              </w:rPr>
            </w:pPr>
            <w:r>
              <w:rPr>
                <w:rFonts w:hint="eastAsia"/>
                <w:sz w:val="24"/>
              </w:rPr>
              <w:t>2、</w:t>
            </w:r>
            <w:r>
              <w:rPr>
                <w:sz w:val="24"/>
              </w:rPr>
              <w:t>供应商具有质量管理体系认证证书、环境管理体系认证证书、职业健康安全管理体系认证证书的，每项得</w:t>
            </w:r>
            <w:r>
              <w:rPr>
                <w:rFonts w:hint="eastAsia"/>
                <w:sz w:val="24"/>
                <w:lang w:val="en-US" w:eastAsia="zh-CN"/>
              </w:rPr>
              <w:t>2</w:t>
            </w:r>
            <w:r>
              <w:rPr>
                <w:sz w:val="24"/>
              </w:rPr>
              <w:t>分。满分</w:t>
            </w:r>
            <w:r>
              <w:rPr>
                <w:rFonts w:hint="eastAsia"/>
                <w:sz w:val="24"/>
                <w:lang w:val="en-US" w:eastAsia="zh-CN"/>
              </w:rPr>
              <w:t>6</w:t>
            </w:r>
            <w:r>
              <w:rPr>
                <w:sz w:val="24"/>
              </w:rPr>
              <w:t>分。</w:t>
            </w:r>
          </w:p>
          <w:p>
            <w:pPr>
              <w:spacing w:line="480" w:lineRule="exact"/>
              <w:rPr>
                <w:sz w:val="24"/>
              </w:rPr>
            </w:pPr>
            <w:r>
              <w:rPr>
                <w:rFonts w:hint="eastAsia"/>
                <w:sz w:val="24"/>
              </w:rPr>
              <w:t>证明材料：提供有效证明材料加盖公章复印件。</w:t>
            </w:r>
          </w:p>
        </w:tc>
        <w:tc>
          <w:tcPr>
            <w:tcW w:w="831" w:type="dxa"/>
            <w:vAlign w:val="center"/>
          </w:tcPr>
          <w:p>
            <w:pPr>
              <w:jc w:val="center"/>
              <w:rPr>
                <w:rFonts w:hAnsi="宋体" w:cs="宋体"/>
                <w:sz w:val="24"/>
              </w:rPr>
            </w:pPr>
            <w:r>
              <w:rPr>
                <w:rFonts w:hint="eastAsia" w:cs="宋体"/>
                <w:sz w:val="24"/>
                <w:lang w:val="en-US" w:eastAsia="zh-CN"/>
              </w:rPr>
              <w:t>10</w:t>
            </w:r>
            <w:r>
              <w:rPr>
                <w:rFonts w:hint="eastAsia"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0" w:hRule="atLeast"/>
          <w:jc w:val="center"/>
        </w:trPr>
        <w:tc>
          <w:tcPr>
            <w:tcW w:w="665" w:type="dxa"/>
            <w:vAlign w:val="center"/>
          </w:tcPr>
          <w:p>
            <w:pPr>
              <w:jc w:val="center"/>
              <w:rPr>
                <w:rFonts w:hint="eastAsia" w:hAnsi="宋体" w:eastAsia="宋体" w:cs="宋体"/>
                <w:bCs/>
                <w:sz w:val="24"/>
                <w:lang w:eastAsia="zh-CN"/>
              </w:rPr>
            </w:pPr>
            <w:r>
              <w:rPr>
                <w:rFonts w:hint="eastAsia" w:cs="宋体"/>
                <w:bCs/>
                <w:sz w:val="24"/>
                <w:lang w:val="en-US" w:eastAsia="zh-CN"/>
              </w:rPr>
              <w:t>4</w:t>
            </w:r>
          </w:p>
        </w:tc>
        <w:tc>
          <w:tcPr>
            <w:tcW w:w="1731" w:type="dxa"/>
            <w:vAlign w:val="center"/>
          </w:tcPr>
          <w:p>
            <w:pPr>
              <w:jc w:val="center"/>
              <w:rPr>
                <w:rFonts w:hAnsi="宋体" w:cs="宋体"/>
                <w:sz w:val="24"/>
              </w:rPr>
            </w:pPr>
            <w:r>
              <w:rPr>
                <w:rFonts w:hint="eastAsia" w:cs="宋体"/>
                <w:kern w:val="0"/>
                <w:sz w:val="24"/>
              </w:rPr>
              <w:t>项目人员配置</w:t>
            </w:r>
          </w:p>
        </w:tc>
        <w:tc>
          <w:tcPr>
            <w:tcW w:w="6611" w:type="dxa"/>
            <w:vAlign w:val="center"/>
          </w:tcPr>
          <w:p>
            <w:pPr>
              <w:numPr>
                <w:ilvl w:val="0"/>
                <w:numId w:val="6"/>
              </w:numPr>
              <w:spacing w:line="480" w:lineRule="exact"/>
              <w:rPr>
                <w:rFonts w:hAnsi="宋体" w:cs="宋体"/>
                <w:sz w:val="24"/>
              </w:rPr>
            </w:pPr>
            <w:r>
              <w:rPr>
                <w:rFonts w:hint="eastAsia" w:hAnsi="宋体" w:cs="宋体"/>
                <w:sz w:val="24"/>
              </w:rPr>
              <w:t>项目负责人具备城市规划高级职称、国家注册城市（乡）规划师的得</w:t>
            </w:r>
            <w:r>
              <w:rPr>
                <w:rFonts w:hint="eastAsia" w:cs="宋体"/>
                <w:sz w:val="24"/>
                <w:lang w:val="en-US" w:eastAsia="zh-CN"/>
              </w:rPr>
              <w:t>5</w:t>
            </w:r>
            <w:r>
              <w:rPr>
                <w:rFonts w:hint="eastAsia" w:hAnsi="宋体" w:cs="宋体"/>
                <w:sz w:val="24"/>
              </w:rPr>
              <w:t>分。</w:t>
            </w:r>
          </w:p>
          <w:p>
            <w:pPr>
              <w:numPr>
                <w:ilvl w:val="0"/>
                <w:numId w:val="6"/>
              </w:numPr>
              <w:spacing w:line="480" w:lineRule="exact"/>
              <w:rPr>
                <w:rFonts w:hAnsi="宋体" w:cs="宋体"/>
                <w:sz w:val="24"/>
              </w:rPr>
            </w:pPr>
            <w:r>
              <w:rPr>
                <w:rFonts w:hint="eastAsia" w:hAnsi="宋体" w:cs="宋体"/>
                <w:sz w:val="24"/>
              </w:rPr>
              <w:t>拟派本项目组技术人员应配有</w:t>
            </w:r>
            <w:r>
              <w:rPr>
                <w:sz w:val="24"/>
              </w:rPr>
              <w:t>规划、建筑、给排水、电气、道路、园林</w:t>
            </w:r>
            <w:r>
              <w:rPr>
                <w:rFonts w:hint="eastAsia"/>
                <w:sz w:val="24"/>
              </w:rPr>
              <w:t>6个专业人员，并具有高级或以上职称</w:t>
            </w:r>
            <w:r>
              <w:rPr>
                <w:rFonts w:hint="eastAsia" w:hAnsi="宋体" w:cs="宋体"/>
                <w:sz w:val="24"/>
              </w:rPr>
              <w:t>，配备齐全的得</w:t>
            </w:r>
            <w:r>
              <w:rPr>
                <w:rFonts w:hint="eastAsia" w:cs="宋体"/>
                <w:sz w:val="24"/>
                <w:lang w:val="en-US" w:eastAsia="zh-CN"/>
              </w:rPr>
              <w:t>10</w:t>
            </w:r>
            <w:r>
              <w:rPr>
                <w:rFonts w:hint="eastAsia" w:hAnsi="宋体" w:cs="宋体"/>
                <w:sz w:val="24"/>
              </w:rPr>
              <w:t>分；3-4个的得5分；1-2个的得2分；无则不得分。</w:t>
            </w:r>
          </w:p>
          <w:p>
            <w:pPr>
              <w:spacing w:line="480" w:lineRule="exact"/>
              <w:rPr>
                <w:rFonts w:hAnsi="宋体" w:cs="宋体"/>
                <w:sz w:val="24"/>
              </w:rPr>
            </w:pPr>
            <w:r>
              <w:rPr>
                <w:rFonts w:hint="eastAsia" w:hAnsi="宋体" w:cs="宋体"/>
                <w:sz w:val="24"/>
              </w:rPr>
              <w:t>证明材料：须提供相应证书及近一个月社保证明复印件加盖公章。</w:t>
            </w:r>
          </w:p>
        </w:tc>
        <w:tc>
          <w:tcPr>
            <w:tcW w:w="831" w:type="dxa"/>
            <w:vAlign w:val="center"/>
          </w:tcPr>
          <w:p>
            <w:pPr>
              <w:jc w:val="center"/>
              <w:rPr>
                <w:rFonts w:hAnsi="宋体" w:cs="宋体"/>
                <w:sz w:val="24"/>
              </w:rPr>
            </w:pPr>
            <w:r>
              <w:rPr>
                <w:rFonts w:hint="eastAsia" w:cs="宋体"/>
                <w:sz w:val="24"/>
                <w:lang w:val="en-US" w:eastAsia="zh-CN"/>
              </w:rPr>
              <w:t>15</w:t>
            </w:r>
            <w:r>
              <w:rPr>
                <w:rFonts w:hint="eastAsia" w:hAnsi="宋体" w:cs="宋体"/>
                <w:sz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33" w:hRule="atLeast"/>
          <w:jc w:val="center"/>
        </w:trPr>
        <w:tc>
          <w:tcPr>
            <w:tcW w:w="665" w:type="dxa"/>
            <w:tcBorders>
              <w:top w:val="single" w:color="auto" w:sz="4" w:space="0"/>
              <w:bottom w:val="single" w:color="auto" w:sz="4" w:space="0"/>
              <w:right w:val="single" w:color="auto" w:sz="4" w:space="0"/>
            </w:tcBorders>
            <w:vAlign w:val="center"/>
          </w:tcPr>
          <w:p>
            <w:pPr>
              <w:jc w:val="center"/>
              <w:rPr>
                <w:rFonts w:hint="eastAsia" w:cs="宋体"/>
                <w:kern w:val="0"/>
                <w:sz w:val="24"/>
                <w:lang w:val="en-US" w:eastAsia="zh-CN"/>
              </w:rPr>
            </w:pPr>
            <w:r>
              <w:rPr>
                <w:rFonts w:hint="eastAsia" w:cs="宋体"/>
                <w:kern w:val="0"/>
                <w:sz w:val="24"/>
                <w:lang w:val="en-US" w:eastAsia="zh-CN"/>
              </w:rPr>
              <w:t>5</w:t>
            </w:r>
          </w:p>
        </w:tc>
        <w:tc>
          <w:tcPr>
            <w:tcW w:w="1731" w:type="dxa"/>
            <w:tcBorders>
              <w:top w:val="single" w:color="auto" w:sz="4" w:space="0"/>
              <w:left w:val="single" w:color="auto" w:sz="4" w:space="0"/>
              <w:bottom w:val="single" w:color="auto" w:sz="4" w:space="0"/>
              <w:right w:val="single" w:color="auto" w:sz="4" w:space="0"/>
            </w:tcBorders>
            <w:vAlign w:val="center"/>
          </w:tcPr>
          <w:p>
            <w:pPr>
              <w:jc w:val="center"/>
              <w:rPr>
                <w:rFonts w:hint="eastAsia" w:cs="宋体"/>
                <w:kern w:val="0"/>
                <w:sz w:val="24"/>
              </w:rPr>
            </w:pPr>
            <w:r>
              <w:rPr>
                <w:rFonts w:hint="eastAsia" w:cs="宋体"/>
                <w:kern w:val="0"/>
                <w:sz w:val="24"/>
              </w:rPr>
              <w:t>本地化服务能力</w:t>
            </w:r>
          </w:p>
          <w:p>
            <w:pPr>
              <w:jc w:val="center"/>
              <w:rPr>
                <w:rFonts w:hint="eastAsia" w:cs="宋体"/>
                <w:kern w:val="0"/>
                <w:sz w:val="24"/>
              </w:rPr>
            </w:pPr>
          </w:p>
        </w:tc>
        <w:tc>
          <w:tcPr>
            <w:tcW w:w="6611"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hAnsi="宋体" w:cs="宋体"/>
                <w:sz w:val="24"/>
                <w:lang w:val="zh-CN" w:eastAsia="zh-TW"/>
              </w:rPr>
            </w:pPr>
            <w:r>
              <w:rPr>
                <w:rFonts w:hint="eastAsia" w:hAnsi="宋体" w:cs="宋体"/>
                <w:sz w:val="24"/>
                <w:lang w:val="zh-CN" w:eastAsia="zh-TW"/>
              </w:rPr>
              <w:t>供应商在应具有较强的本地化服务能力和综合服务支撑能力，在项目所在地设立常驻技术、服务支持机构的或承诺中标后30天内在项目所在地设立常驻技术、服务支持机构的得</w:t>
            </w:r>
            <w:r>
              <w:rPr>
                <w:rFonts w:hint="eastAsia" w:cs="宋体"/>
                <w:sz w:val="24"/>
                <w:lang w:val="en-US" w:eastAsia="zh-CN"/>
              </w:rPr>
              <w:t>5</w:t>
            </w:r>
            <w:r>
              <w:rPr>
                <w:rFonts w:hint="eastAsia" w:hAnsi="宋体" w:cs="宋体"/>
                <w:sz w:val="24"/>
                <w:lang w:val="zh-CN" w:eastAsia="zh-TW"/>
              </w:rPr>
              <w:t>分。</w:t>
            </w:r>
          </w:p>
          <w:p>
            <w:pPr>
              <w:spacing w:line="480" w:lineRule="exact"/>
              <w:rPr>
                <w:rFonts w:hint="eastAsia" w:hAnsi="宋体" w:cs="宋体"/>
                <w:sz w:val="24"/>
                <w:lang w:val="zh-CN" w:eastAsia="zh-TW"/>
              </w:rPr>
            </w:pPr>
            <w:r>
              <w:rPr>
                <w:rFonts w:hint="eastAsia" w:hAnsi="宋体" w:cs="宋体"/>
                <w:sz w:val="24"/>
                <w:lang w:val="zh-CN" w:eastAsia="zh-TW"/>
              </w:rPr>
              <w:t>证明材料：提供有效的证明材料或者承诺函加盖公章，不提供不得分。</w:t>
            </w:r>
          </w:p>
        </w:tc>
        <w:tc>
          <w:tcPr>
            <w:tcW w:w="831" w:type="dxa"/>
            <w:tcBorders>
              <w:top w:val="single" w:color="auto" w:sz="4" w:space="0"/>
              <w:left w:val="single" w:color="auto" w:sz="4" w:space="0"/>
              <w:bottom w:val="single" w:color="auto" w:sz="4" w:space="0"/>
            </w:tcBorders>
            <w:vAlign w:val="center"/>
          </w:tcPr>
          <w:p>
            <w:pPr>
              <w:jc w:val="center"/>
              <w:rPr>
                <w:rFonts w:hint="default" w:hAnsi="宋体" w:eastAsia="宋体" w:cs="宋体"/>
                <w:bCs/>
                <w:sz w:val="24"/>
                <w:lang w:val="en-US" w:eastAsia="zh-CN"/>
              </w:rPr>
            </w:pPr>
            <w:r>
              <w:rPr>
                <w:rFonts w:hint="eastAsia" w:cs="宋体"/>
                <w:bCs/>
                <w:sz w:val="24"/>
                <w:lang w:val="en-US" w:eastAsia="zh-CN"/>
              </w:rPr>
              <w:t>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33" w:hRule="atLeast"/>
          <w:jc w:val="center"/>
        </w:trPr>
        <w:tc>
          <w:tcPr>
            <w:tcW w:w="665" w:type="dxa"/>
            <w:tcBorders>
              <w:top w:val="single" w:color="auto" w:sz="4" w:space="0"/>
              <w:bottom w:val="single" w:color="auto" w:sz="4" w:space="0"/>
              <w:right w:val="single" w:color="auto" w:sz="4" w:space="0"/>
            </w:tcBorders>
            <w:vAlign w:val="center"/>
          </w:tcPr>
          <w:p>
            <w:pPr>
              <w:tabs>
                <w:tab w:val="left" w:pos="378"/>
              </w:tabs>
              <w:jc w:val="center"/>
              <w:rPr>
                <w:rFonts w:hAnsi="宋体" w:cs="宋体"/>
                <w:sz w:val="24"/>
              </w:rPr>
            </w:pPr>
            <w:r>
              <w:rPr>
                <w:rFonts w:hint="eastAsia" w:hAnsi="宋体" w:cs="宋体"/>
                <w:sz w:val="24"/>
              </w:rPr>
              <w:t>6</w:t>
            </w:r>
          </w:p>
        </w:tc>
        <w:tc>
          <w:tcPr>
            <w:tcW w:w="17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Ansi="宋体" w:cs="宋体"/>
                <w:sz w:val="24"/>
              </w:rPr>
            </w:pPr>
            <w:r>
              <w:rPr>
                <w:rFonts w:hint="eastAsia" w:ascii="宋体" w:hAnsi="宋体" w:cs="宋体"/>
                <w:kern w:val="0"/>
                <w:sz w:val="24"/>
              </w:rPr>
              <w:t>类似业绩</w:t>
            </w:r>
          </w:p>
        </w:tc>
        <w:tc>
          <w:tcPr>
            <w:tcW w:w="6611" w:type="dxa"/>
            <w:tcBorders>
              <w:top w:val="single" w:color="auto" w:sz="4" w:space="0"/>
              <w:left w:val="single" w:color="auto" w:sz="4" w:space="0"/>
              <w:bottom w:val="single" w:color="auto" w:sz="4" w:space="0"/>
              <w:right w:val="single" w:color="auto" w:sz="4" w:space="0"/>
            </w:tcBorders>
            <w:vAlign w:val="center"/>
          </w:tcPr>
          <w:p>
            <w:pPr>
              <w:spacing w:line="480" w:lineRule="exact"/>
              <w:rPr>
                <w:rFonts w:hAnsi="宋体" w:cs="宋体"/>
                <w:sz w:val="24"/>
                <w:lang w:val="zh-CN" w:eastAsia="zh-TW"/>
              </w:rPr>
            </w:pPr>
            <w:r>
              <w:rPr>
                <w:rFonts w:hint="eastAsia" w:hAnsi="宋体"/>
                <w:sz w:val="24"/>
              </w:rPr>
              <w:t>供应商</w:t>
            </w:r>
            <w:r>
              <w:rPr>
                <w:rFonts w:hint="eastAsia" w:hAnsi="宋体" w:cs="宋体"/>
                <w:sz w:val="24"/>
                <w:lang w:val="zh-CN" w:eastAsia="zh-TW"/>
              </w:rPr>
              <w:t>自201</w:t>
            </w:r>
            <w:r>
              <w:rPr>
                <w:rFonts w:hint="eastAsia" w:hAnsi="宋体" w:cs="宋体"/>
                <w:sz w:val="24"/>
              </w:rPr>
              <w:t>7</w:t>
            </w:r>
            <w:r>
              <w:rPr>
                <w:rFonts w:hint="eastAsia" w:hAnsi="宋体" w:cs="宋体"/>
                <w:sz w:val="24"/>
                <w:lang w:val="zh-CN" w:eastAsia="zh-TW"/>
              </w:rPr>
              <w:t>年1月起至今</w:t>
            </w:r>
            <w:r>
              <w:rPr>
                <w:rFonts w:hint="eastAsia"/>
                <w:sz w:val="24"/>
              </w:rPr>
              <w:t>具有</w:t>
            </w:r>
            <w:r>
              <w:rPr>
                <w:sz w:val="24"/>
              </w:rPr>
              <w:t>专项规划类项目的</w:t>
            </w:r>
            <w:r>
              <w:rPr>
                <w:rFonts w:hint="eastAsia" w:hAnsi="宋体" w:cs="宋体"/>
                <w:sz w:val="24"/>
                <w:lang w:val="zh-CN" w:eastAsia="zh-TW"/>
              </w:rPr>
              <w:t>，每提供一个得</w:t>
            </w:r>
            <w:r>
              <w:rPr>
                <w:rFonts w:hint="eastAsia" w:hAnsi="宋体" w:cs="宋体"/>
                <w:sz w:val="24"/>
              </w:rPr>
              <w:t>2.5</w:t>
            </w:r>
            <w:r>
              <w:rPr>
                <w:rFonts w:hint="eastAsia" w:hAnsi="宋体" w:cs="宋体"/>
                <w:sz w:val="24"/>
                <w:lang w:val="zh-CN" w:eastAsia="zh-TW"/>
              </w:rPr>
              <w:t>分，满分</w:t>
            </w:r>
            <w:r>
              <w:rPr>
                <w:rFonts w:hint="eastAsia" w:hAnsi="宋体" w:cs="宋体"/>
                <w:sz w:val="24"/>
              </w:rPr>
              <w:t>10</w:t>
            </w:r>
            <w:r>
              <w:rPr>
                <w:rFonts w:hint="eastAsia" w:hAnsi="宋体" w:cs="宋体"/>
                <w:sz w:val="24"/>
                <w:lang w:val="zh-CN" w:eastAsia="zh-TW"/>
              </w:rPr>
              <w:t>分。</w:t>
            </w:r>
          </w:p>
          <w:p>
            <w:pPr>
              <w:spacing w:line="480" w:lineRule="exact"/>
              <w:rPr>
                <w:rFonts w:hAnsi="宋体" w:cs="宋体"/>
                <w:sz w:val="24"/>
                <w:lang w:val="zh-CN" w:eastAsia="zh-TW"/>
              </w:rPr>
            </w:pPr>
            <w:r>
              <w:rPr>
                <w:rFonts w:hint="eastAsia" w:hAnsi="宋体" w:cs="宋体"/>
                <w:sz w:val="24"/>
                <w:lang w:val="zh-CN" w:eastAsia="zh-TW"/>
              </w:rPr>
              <w:t>证明材料：提供业绩合同加盖公章复印件，日期以合同签订日期为准。</w:t>
            </w:r>
          </w:p>
        </w:tc>
        <w:tc>
          <w:tcPr>
            <w:tcW w:w="831" w:type="dxa"/>
            <w:tcBorders>
              <w:top w:val="single" w:color="auto" w:sz="4" w:space="0"/>
              <w:left w:val="single" w:color="auto" w:sz="4" w:space="0"/>
              <w:bottom w:val="single" w:color="auto" w:sz="4" w:space="0"/>
            </w:tcBorders>
            <w:vAlign w:val="center"/>
          </w:tcPr>
          <w:p>
            <w:pPr>
              <w:jc w:val="center"/>
              <w:rPr>
                <w:rFonts w:hAnsi="宋体" w:cs="宋体"/>
                <w:bCs/>
                <w:sz w:val="24"/>
              </w:rPr>
            </w:pPr>
            <w:r>
              <w:rPr>
                <w:rFonts w:hint="eastAsia" w:hAnsi="宋体" w:cs="宋体"/>
                <w:bCs/>
                <w:sz w:val="24"/>
              </w:rPr>
              <w:t>10分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9838" w:type="dxa"/>
            <w:gridSpan w:val="4"/>
            <w:tcBorders>
              <w:top w:val="single" w:color="auto" w:sz="4" w:space="0"/>
              <w:bottom w:val="single" w:color="auto" w:sz="4" w:space="0"/>
            </w:tcBorders>
            <w:vAlign w:val="center"/>
          </w:tcPr>
          <w:p>
            <w:pPr>
              <w:jc w:val="center"/>
              <w:rPr>
                <w:rFonts w:hAnsi="宋体" w:cs="宋体"/>
                <w:bCs/>
                <w:sz w:val="24"/>
              </w:rPr>
            </w:pPr>
            <w:r>
              <w:rPr>
                <w:rFonts w:hint="eastAsia" w:hAnsi="宋体" w:cs="宋体"/>
                <w:b/>
                <w:bCs/>
                <w:sz w:val="24"/>
              </w:rPr>
              <w:t>价格部分（10分）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43" w:hRule="atLeast"/>
          <w:jc w:val="center"/>
        </w:trPr>
        <w:tc>
          <w:tcPr>
            <w:tcW w:w="665" w:type="dxa"/>
            <w:tcBorders>
              <w:top w:val="single" w:color="auto" w:sz="4" w:space="0"/>
              <w:bottom w:val="single" w:color="auto" w:sz="4" w:space="0"/>
              <w:right w:val="single" w:color="auto" w:sz="4" w:space="0"/>
            </w:tcBorders>
            <w:vAlign w:val="center"/>
          </w:tcPr>
          <w:p>
            <w:pPr>
              <w:jc w:val="center"/>
              <w:rPr>
                <w:rFonts w:hAnsi="宋体" w:cs="宋体"/>
                <w:sz w:val="24"/>
              </w:rPr>
            </w:pPr>
            <w:r>
              <w:rPr>
                <w:rFonts w:hint="eastAsia" w:hAnsi="宋体" w:cs="宋体"/>
                <w:sz w:val="24"/>
              </w:rPr>
              <w:t>7</w:t>
            </w:r>
          </w:p>
        </w:tc>
        <w:tc>
          <w:tcPr>
            <w:tcW w:w="1731"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4"/>
              </w:rPr>
            </w:pPr>
            <w:r>
              <w:rPr>
                <w:rFonts w:hint="eastAsia" w:hAnsi="宋体" w:cs="宋体"/>
                <w:sz w:val="24"/>
              </w:rPr>
              <w:t>投标报价得分</w:t>
            </w:r>
          </w:p>
        </w:tc>
        <w:tc>
          <w:tcPr>
            <w:tcW w:w="6611" w:type="dxa"/>
            <w:tcBorders>
              <w:top w:val="single" w:color="auto" w:sz="4" w:space="0"/>
              <w:left w:val="single" w:color="auto" w:sz="4" w:space="0"/>
              <w:bottom w:val="single" w:color="auto" w:sz="4" w:space="0"/>
              <w:right w:val="single" w:color="auto" w:sz="4" w:space="0"/>
            </w:tcBorders>
            <w:vAlign w:val="center"/>
          </w:tcPr>
          <w:p>
            <w:pPr>
              <w:spacing w:line="480" w:lineRule="exact"/>
              <w:rPr>
                <w:rFonts w:hAnsi="宋体" w:cs="宋体"/>
                <w:sz w:val="24"/>
                <w:lang w:val="zh-CN"/>
              </w:rPr>
            </w:pPr>
            <w:r>
              <w:rPr>
                <w:rFonts w:hint="eastAsia" w:hAnsi="宋体" w:cs="宋体"/>
                <w:b/>
                <w:sz w:val="24"/>
                <w:lang w:val="zh-CN"/>
              </w:rPr>
              <w:t>磋商基准价：</w:t>
            </w:r>
            <w:r>
              <w:rPr>
                <w:rFonts w:hint="eastAsia" w:hAnsi="宋体" w:cs="宋体"/>
                <w:sz w:val="24"/>
                <w:lang w:val="zh-CN"/>
              </w:rPr>
              <w:t>综合评分法中的价格分统一采用低价优先法计算，即满足磋商文件要求且最后报价最低的供应商的价格为磋商基准价，其价格分为满分10分。其他供应商的价格分统一按照下列公式计算：</w:t>
            </w:r>
          </w:p>
          <w:p>
            <w:pPr>
              <w:spacing w:line="480" w:lineRule="exact"/>
              <w:rPr>
                <w:rFonts w:hAnsi="宋体" w:cs="宋体"/>
                <w:sz w:val="24"/>
                <w:lang w:val="zh-CN"/>
              </w:rPr>
            </w:pPr>
            <w:r>
              <w:rPr>
                <w:rFonts w:hint="eastAsia" w:hAnsi="宋体" w:cs="宋体"/>
                <w:sz w:val="24"/>
                <w:lang w:val="zh-CN"/>
              </w:rPr>
              <w:t>磋商报价得分=（磋商基准价/最后磋商报价）×价格权值（10%）×100</w:t>
            </w:r>
          </w:p>
        </w:tc>
        <w:tc>
          <w:tcPr>
            <w:tcW w:w="831" w:type="dxa"/>
            <w:tcBorders>
              <w:top w:val="single" w:color="auto" w:sz="4" w:space="0"/>
              <w:left w:val="single" w:color="auto" w:sz="4" w:space="0"/>
              <w:bottom w:val="single" w:color="auto" w:sz="4" w:space="0"/>
            </w:tcBorders>
            <w:vAlign w:val="center"/>
          </w:tcPr>
          <w:p>
            <w:pPr>
              <w:jc w:val="center"/>
              <w:rPr>
                <w:rFonts w:hAnsi="宋体" w:cs="宋体"/>
                <w:bCs/>
                <w:sz w:val="24"/>
              </w:rPr>
            </w:pPr>
            <w:r>
              <w:rPr>
                <w:rFonts w:hint="eastAsia" w:hAnsi="宋体" w:cs="宋体"/>
                <w:bCs/>
                <w:sz w:val="24"/>
              </w:rPr>
              <w:t>10分</w:t>
            </w:r>
          </w:p>
        </w:tc>
      </w:tr>
      <w:bookmarkEnd w:id="64"/>
      <w:bookmarkEnd w:id="65"/>
    </w:tbl>
    <w:p/>
    <w:sectPr>
      <w:pgSz w:w="11906" w:h="16838"/>
      <w:pgMar w:top="1361" w:right="1418" w:bottom="1361" w:left="141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Rounded MT Bold">
    <w:panose1 w:val="020F0704030504030204"/>
    <w:charset w:val="00"/>
    <w:family w:val="auto"/>
    <w:pitch w:val="default"/>
    <w:sig w:usb0="00000003"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Si84BAACnAwAADgAAAGRycy9lMm9Eb2MueG1srVPNjtMwEL4j8Q6W&#10;7zRptUJ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Pv5kovOAQAApwMAAA4AAAAAAAAAAQAgAAAAHgEAAGRycy9l&#10;Mm9Eb2MueG1sUEsFBgAAAAAGAAYAWQEAAF4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pPr>
                          <w:r>
                            <w:fldChar w:fldCharType="begin"/>
                          </w:r>
                          <w:r>
                            <w:instrText xml:space="preserve"> PAGE  \* MERGEFORMAT </w:instrText>
                          </w:r>
                          <w:r>
                            <w:fldChar w:fldCharType="separate"/>
                          </w:r>
                          <w:r>
                            <w:t>10</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pPr>
                          <w:r>
                            <w:fldChar w:fldCharType="begin"/>
                          </w:r>
                          <w:r>
                            <w:instrText xml:space="preserve"> PAGE  \* MERGEFORMAT </w:instrText>
                          </w:r>
                          <w:r>
                            <w:fldChar w:fldCharType="separate"/>
                          </w:r>
                          <w:r>
                            <w:t>9</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LDwzZM0BAACnAwAADgAAAAAAAAABACAAAAAeAQAAZHJzL2Uy&#10;b0RvYy54bWxQSwUGAAAAAAYABgBZAQAAXQ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pPr>
                          <w:r>
                            <w:fldChar w:fldCharType="begin"/>
                          </w:r>
                          <w:r>
                            <w:instrText xml:space="preserve"> PAGE  \* MERGEFORMAT </w:instrText>
                          </w:r>
                          <w:r>
                            <w:fldChar w:fldCharType="separate"/>
                          </w:r>
                          <w:r>
                            <w:t>28</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R3T+f80BAACpAwAADgAAAAAAAAABACAAAAAeAQAAZHJzL2Uy&#10;b0RvYy54bWxQSwUGAAAAAAYABgBZAQAAXQ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7"/>
      </w:rPr>
    </w:pPr>
    <w:r>
      <w:fldChar w:fldCharType="begin"/>
    </w:r>
    <w:r>
      <w:rPr>
        <w:rStyle w:val="17"/>
      </w:rPr>
      <w:instrText xml:space="preserve">PAGE  </w:instrText>
    </w:r>
    <w:r>
      <w:fldChar w:fldCharType="separate"/>
    </w:r>
    <w:r>
      <w:rPr>
        <w:rStyle w:val="17"/>
      </w:rPr>
      <w:t>1</w: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tentative="0">
      <w:start w:val="1"/>
      <w:numFmt w:val="decimal"/>
      <w:suff w:val="nothing"/>
      <w:lvlText w:val="%1、"/>
      <w:lvlJc w:val="left"/>
    </w:lvl>
  </w:abstractNum>
  <w:abstractNum w:abstractNumId="1">
    <w:nsid w:val="11B672F7"/>
    <w:multiLevelType w:val="singleLevel"/>
    <w:tmpl w:val="11B672F7"/>
    <w:lvl w:ilvl="0" w:tentative="0">
      <w:start w:val="1"/>
      <w:numFmt w:val="decimal"/>
      <w:suff w:val="nothing"/>
      <w:lvlText w:val="%1、"/>
      <w:lvlJc w:val="left"/>
    </w:lvl>
  </w:abstractNum>
  <w:abstractNum w:abstractNumId="2">
    <w:nsid w:val="23CE4628"/>
    <w:multiLevelType w:val="multilevel"/>
    <w:tmpl w:val="23CE462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8BE4298"/>
    <w:multiLevelType w:val="multilevel"/>
    <w:tmpl w:val="28BE4298"/>
    <w:lvl w:ilvl="0" w:tentative="0">
      <w:start w:val="7"/>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
    <w:nsid w:val="4D49DA0D"/>
    <w:multiLevelType w:val="singleLevel"/>
    <w:tmpl w:val="4D49DA0D"/>
    <w:lvl w:ilvl="0" w:tentative="0">
      <w:start w:val="6"/>
      <w:numFmt w:val="decimal"/>
      <w:suff w:val="nothing"/>
      <w:lvlText w:val="%1、"/>
      <w:lvlJc w:val="left"/>
    </w:lvl>
  </w:abstractNum>
  <w:abstractNum w:abstractNumId="5">
    <w:nsid w:val="56300CDA"/>
    <w:multiLevelType w:val="singleLevel"/>
    <w:tmpl w:val="56300CDA"/>
    <w:lvl w:ilvl="0" w:tentative="0">
      <w:start w:val="2"/>
      <w:numFmt w:val="decimal"/>
      <w:suff w:val="nothing"/>
      <w:lvlText w:val="%1、"/>
      <w:lvlJc w:val="left"/>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pos w:val="beneathText"/>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3A3369"/>
    <w:rsid w:val="127B30A2"/>
    <w:rsid w:val="138D4EC5"/>
    <w:rsid w:val="1904024C"/>
    <w:rsid w:val="23BE73F1"/>
    <w:rsid w:val="24912217"/>
    <w:rsid w:val="26F34AB3"/>
    <w:rsid w:val="33433858"/>
    <w:rsid w:val="36C17B71"/>
    <w:rsid w:val="38DA692F"/>
    <w:rsid w:val="3CB95D6E"/>
    <w:rsid w:val="3CBE6ED0"/>
    <w:rsid w:val="3FA85EEC"/>
    <w:rsid w:val="467A3232"/>
    <w:rsid w:val="4E38261F"/>
    <w:rsid w:val="4EEE1CEB"/>
    <w:rsid w:val="5A9A156C"/>
    <w:rsid w:val="5E202676"/>
    <w:rsid w:val="60B83083"/>
    <w:rsid w:val="65D3647C"/>
    <w:rsid w:val="73C861F7"/>
    <w:rsid w:val="78B82F99"/>
    <w:rsid w:val="7A9823BA"/>
    <w:rsid w:val="7D3C6D99"/>
    <w:rsid w:val="7EBC147F"/>
    <w:rsid w:val="7ECF7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nhideWhenUsed="0" w:uiPriority="1"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38"/>
      <w:jc w:val="center"/>
      <w:outlineLvl w:val="1"/>
    </w:pPr>
    <w:rPr>
      <w:rFonts w:ascii="宋体" w:hAnsi="宋体" w:eastAsia="宋体" w:cs="宋体"/>
      <w:b/>
      <w:bCs/>
      <w:sz w:val="44"/>
      <w:szCs w:val="44"/>
      <w:lang w:val="zh-CN" w:eastAsia="zh-CN" w:bidi="zh-CN"/>
    </w:rPr>
  </w:style>
  <w:style w:type="paragraph" w:styleId="3">
    <w:name w:val="heading 2"/>
    <w:basedOn w:val="1"/>
    <w:next w:val="1"/>
    <w:link w:val="22"/>
    <w:qFormat/>
    <w:uiPriority w:val="1"/>
    <w:pPr>
      <w:ind w:left="1770" w:right="6851"/>
      <w:outlineLvl w:val="2"/>
    </w:pPr>
    <w:rPr>
      <w:rFonts w:ascii="微软雅黑" w:hAnsi="微软雅黑" w:eastAsia="微软雅黑" w:cs="微软雅黑"/>
      <w:sz w:val="40"/>
      <w:szCs w:val="40"/>
      <w:lang w:val="zh-CN" w:eastAsia="zh-CN" w:bidi="zh-CN"/>
    </w:rPr>
  </w:style>
  <w:style w:type="paragraph" w:styleId="4">
    <w:name w:val="heading 3"/>
    <w:basedOn w:val="1"/>
    <w:next w:val="1"/>
    <w:qFormat/>
    <w:uiPriority w:val="1"/>
    <w:pPr>
      <w:spacing w:before="49"/>
      <w:jc w:val="center"/>
      <w:outlineLvl w:val="3"/>
    </w:pPr>
    <w:rPr>
      <w:rFonts w:ascii="宋体" w:hAnsi="宋体" w:eastAsia="宋体" w:cs="宋体"/>
      <w:b/>
      <w:bCs/>
      <w:sz w:val="36"/>
      <w:szCs w:val="36"/>
      <w:lang w:val="zh-CN" w:eastAsia="zh-CN" w:bidi="zh-CN"/>
    </w:rPr>
  </w:style>
  <w:style w:type="paragraph" w:styleId="5">
    <w:name w:val="heading 4"/>
    <w:basedOn w:val="1"/>
    <w:next w:val="1"/>
    <w:qFormat/>
    <w:uiPriority w:val="1"/>
    <w:pPr>
      <w:ind w:left="638"/>
      <w:outlineLvl w:val="4"/>
    </w:pPr>
    <w:rPr>
      <w:rFonts w:ascii="宋体" w:hAnsi="宋体" w:eastAsia="宋体" w:cs="宋体"/>
      <w:b/>
      <w:bCs/>
      <w:sz w:val="32"/>
      <w:szCs w:val="32"/>
      <w:lang w:val="zh-CN" w:eastAsia="zh-CN" w:bidi="zh-CN"/>
    </w:rPr>
  </w:style>
  <w:style w:type="paragraph" w:styleId="6">
    <w:name w:val="heading 5"/>
    <w:basedOn w:val="1"/>
    <w:next w:val="1"/>
    <w:qFormat/>
    <w:uiPriority w:val="1"/>
    <w:pPr>
      <w:ind w:left="1058"/>
      <w:outlineLvl w:val="5"/>
    </w:pPr>
    <w:rPr>
      <w:rFonts w:ascii="宋体" w:hAnsi="宋体" w:eastAsia="宋体" w:cs="宋体"/>
      <w:b/>
      <w:bCs/>
      <w:sz w:val="30"/>
      <w:szCs w:val="30"/>
      <w:lang w:val="zh-CN" w:eastAsia="zh-CN" w:bidi="zh-CN"/>
    </w:rPr>
  </w:style>
  <w:style w:type="paragraph" w:styleId="7">
    <w:name w:val="heading 8"/>
    <w:basedOn w:val="1"/>
    <w:next w:val="1"/>
    <w:qFormat/>
    <w:uiPriority w:val="1"/>
    <w:pPr>
      <w:ind w:left="1204"/>
      <w:outlineLvl w:val="8"/>
    </w:pPr>
    <w:rPr>
      <w:rFonts w:ascii="宋体" w:hAnsi="宋体" w:eastAsia="宋体" w:cs="宋体"/>
      <w:b/>
      <w:bCs/>
      <w:sz w:val="24"/>
      <w:szCs w:val="24"/>
      <w:lang w:val="zh-CN" w:eastAsia="zh-CN" w:bidi="zh-CN"/>
    </w:rPr>
  </w:style>
  <w:style w:type="character" w:default="1" w:styleId="16">
    <w:name w:val="Default Paragraph Font"/>
    <w:semiHidden/>
    <w:uiPriority w:val="0"/>
  </w:style>
  <w:style w:type="table" w:default="1" w:styleId="14">
    <w:name w:val="Normal Table"/>
    <w:semiHidden/>
    <w:uiPriority w:val="0"/>
    <w:tblPr>
      <w:tblCellMar>
        <w:top w:w="0" w:type="dxa"/>
        <w:left w:w="108" w:type="dxa"/>
        <w:bottom w:w="0" w:type="dxa"/>
        <w:right w:w="108" w:type="dxa"/>
      </w:tblCellMar>
    </w:tblPr>
  </w:style>
  <w:style w:type="paragraph" w:styleId="8">
    <w:name w:val="Normal Indent"/>
    <w:basedOn w:val="1"/>
    <w:qFormat/>
    <w:uiPriority w:val="0"/>
    <w:pPr>
      <w:adjustRightInd w:val="0"/>
      <w:ind w:firstLine="420"/>
      <w:jc w:val="left"/>
      <w:textAlignment w:val="baseline"/>
    </w:pPr>
    <w:rPr>
      <w:rFonts w:eastAsia="楷体_GB2312"/>
      <w:sz w:val="24"/>
      <w:szCs w:val="20"/>
    </w:rPr>
  </w:style>
  <w:style w:type="paragraph" w:styleId="9">
    <w:name w:val="Body Text"/>
    <w:basedOn w:val="1"/>
    <w:qFormat/>
    <w:uiPriority w:val="1"/>
    <w:rPr>
      <w:rFonts w:ascii="宋体" w:hAnsi="宋体" w:eastAsia="宋体" w:cs="宋体"/>
      <w:sz w:val="24"/>
      <w:szCs w:val="24"/>
      <w:lang w:val="zh-CN" w:eastAsia="zh-CN" w:bidi="zh-CN"/>
    </w:rPr>
  </w:style>
  <w:style w:type="paragraph" w:styleId="10">
    <w:name w:val="Plain Text"/>
    <w:basedOn w:val="1"/>
    <w:qFormat/>
    <w:uiPriority w:val="0"/>
    <w:pPr>
      <w:widowControl/>
      <w:spacing w:before="100" w:beforeAutospacing="1" w:after="100" w:afterAutospacing="1"/>
      <w:jc w:val="left"/>
    </w:pPr>
    <w:rPr>
      <w:rFonts w:ascii="宋体" w:hAnsi="宋体"/>
      <w:color w:val="000000"/>
      <w:kern w:val="0"/>
    </w:rPr>
  </w:style>
  <w:style w:type="paragraph" w:styleId="11">
    <w:name w:val="footer"/>
    <w:basedOn w:val="1"/>
    <w:qFormat/>
    <w:uiPriority w:val="99"/>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pPr>
      <w:jc w:val="left"/>
    </w:pPr>
    <w:rPr>
      <w:b/>
      <w:bCs/>
      <w:caps/>
      <w:sz w:val="20"/>
      <w:szCs w:val="20"/>
    </w:rPr>
  </w:style>
  <w:style w:type="table" w:styleId="15">
    <w:name w:val="Table Theme"/>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paragraph" w:styleId="18">
    <w:name w:val="List Paragraph"/>
    <w:basedOn w:val="1"/>
    <w:qFormat/>
    <w:uiPriority w:val="1"/>
    <w:pPr>
      <w:ind w:left="638" w:firstLine="503"/>
    </w:pPr>
    <w:rPr>
      <w:rFonts w:ascii="宋体" w:hAnsi="宋体" w:eastAsia="宋体" w:cs="宋体"/>
      <w:lang w:val="zh-CN" w:eastAsia="zh-CN" w:bidi="zh-CN"/>
    </w:rPr>
  </w:style>
  <w:style w:type="paragraph" w:customStyle="1" w:styleId="19">
    <w:name w:val="样式 小四 加粗 黑色 段前: 7.8 磅 段后: 7.8 磅 行距: 多倍行距 1.25 字行"/>
    <w:basedOn w:val="1"/>
    <w:qFormat/>
    <w:uiPriority w:val="0"/>
    <w:pPr>
      <w:adjustRightInd w:val="0"/>
      <w:snapToGrid w:val="0"/>
      <w:spacing w:before="156" w:after="120" w:line="360" w:lineRule="exact"/>
      <w:ind w:firstLine="241"/>
    </w:pPr>
    <w:rPr>
      <w:rFonts w:ascii="宋体" w:hAnsi="宋体" w:cs="宋体"/>
      <w:b/>
      <w:color w:val="FF0000"/>
      <w:sz w:val="24"/>
      <w:szCs w:val="20"/>
    </w:rPr>
  </w:style>
  <w:style w:type="paragraph" w:styleId="20">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列出段落2"/>
    <w:basedOn w:val="1"/>
    <w:unhideWhenUsed/>
    <w:qFormat/>
    <w:uiPriority w:val="0"/>
    <w:pPr>
      <w:ind w:firstLine="420" w:firstLineChars="200"/>
    </w:pPr>
  </w:style>
  <w:style w:type="character" w:customStyle="1" w:styleId="22">
    <w:name w:val="标题 2 Char"/>
    <w:link w:val="3"/>
    <w:qFormat/>
    <w:uiPriority w:val="0"/>
    <w:rPr>
      <w:rFonts w:ascii="微软雅黑" w:hAnsi="微软雅黑" w:eastAsia="微软雅黑" w:cs="微软雅黑"/>
      <w:sz w:val="40"/>
      <w:szCs w:val="40"/>
      <w:lang w:val="zh-CN" w:eastAsia="zh-CN" w:bidi="zh-CN"/>
    </w:rPr>
  </w:style>
  <w:style w:type="paragraph" w:customStyle="1" w:styleId="23">
    <w:name w:val="纯文本1"/>
    <w:basedOn w:val="1"/>
    <w:qFormat/>
    <w:uiPriority w:val="0"/>
    <w:pPr>
      <w:adjustRightInd w:val="0"/>
      <w:textAlignment w:val="baseline"/>
    </w:pPr>
    <w:rPr>
      <w:rFonts w:ascii="宋体" w:hAnsi="Courier New" w:eastAsia="楷体_GB2312"/>
      <w:sz w:val="28"/>
      <w:szCs w:val="20"/>
    </w:rPr>
  </w:style>
  <w:style w:type="paragraph" w:customStyle="1" w:styleId="24">
    <w:name w:val="列出段落3"/>
    <w:basedOn w:val="1"/>
    <w:unhideWhenUsed/>
    <w:qFormat/>
    <w:uiPriority w:val="99"/>
    <w:pPr>
      <w:ind w:firstLine="420" w:firstLineChars="200"/>
    </w:pPr>
  </w:style>
  <w:style w:type="paragraph" w:customStyle="1" w:styleId="25">
    <w:name w:val="正文文本缩进2"/>
    <w:basedOn w:val="1"/>
    <w:next w:val="1"/>
    <w:qFormat/>
    <w:uiPriority w:val="0"/>
    <w:pPr>
      <w:spacing w:after="120"/>
      <w:ind w:left="420" w:leftChars="200"/>
    </w:pPr>
    <w:rPr>
      <w:rFonts w:ascii="Calibri" w:hAnsi="Calibri"/>
      <w:sz w:val="24"/>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2021-04-26T01:02:00Z</dcterms:created>
  <dc:creator>Administrator</dc:creator>
  <cp:lastModifiedBy>梦幻</cp:lastModifiedBy>
  <dcterms:modified xsi:type="dcterms:W3CDTF">2021-05-25T08:57:26Z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