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7C" w:rsidRPr="00CF2ACB" w:rsidRDefault="00CD287C" w:rsidP="00CD287C">
      <w:pPr>
        <w:spacing w:line="600" w:lineRule="atLeast"/>
        <w:rPr>
          <w:rFonts w:ascii="黑体" w:eastAsia="黑体" w:hAnsi="黑体"/>
          <w:sz w:val="32"/>
          <w:szCs w:val="32"/>
        </w:rPr>
      </w:pPr>
      <w:r w:rsidRPr="00CF2ACB">
        <w:rPr>
          <w:rFonts w:ascii="黑体" w:eastAsia="黑体" w:hAnsi="黑体" w:hint="eastAsia"/>
          <w:sz w:val="32"/>
          <w:szCs w:val="32"/>
        </w:rPr>
        <w:t>附件2</w:t>
      </w:r>
    </w:p>
    <w:p w:rsidR="00CD287C" w:rsidRPr="00CF2ACB" w:rsidRDefault="00CD287C" w:rsidP="00CD287C">
      <w:pPr>
        <w:spacing w:beforeLines="50" w:afterLines="50" w:line="560" w:lineRule="exact"/>
        <w:jc w:val="center"/>
        <w:rPr>
          <w:rFonts w:ascii="方正小标宋_GBK" w:eastAsia="方正小标宋_GBK" w:hint="eastAsia"/>
          <w:sz w:val="44"/>
          <w:szCs w:val="44"/>
        </w:rPr>
      </w:pPr>
      <w:r w:rsidRPr="00CF2ACB">
        <w:rPr>
          <w:rFonts w:ascii="方正小标宋_GBK" w:eastAsia="方正小标宋_GBK" w:hAnsi="新宋体" w:hint="eastAsia"/>
          <w:sz w:val="44"/>
          <w:szCs w:val="44"/>
        </w:rPr>
        <w:t>海南省永久基本农田储备区划定工作方案</w:t>
      </w:r>
    </w:p>
    <w:p w:rsidR="00CD287C" w:rsidRPr="00CF2ACB" w:rsidRDefault="00CD287C" w:rsidP="00CD287C">
      <w:pPr>
        <w:adjustRightInd w:val="0"/>
        <w:snapToGrid w:val="0"/>
        <w:spacing w:line="560" w:lineRule="exact"/>
        <w:ind w:firstLineChars="133" w:firstLine="426"/>
        <w:rPr>
          <w:rFonts w:ascii="仿宋_GB2312" w:eastAsia="仿宋_GB2312" w:hint="eastAsia"/>
          <w:sz w:val="32"/>
          <w:szCs w:val="32"/>
        </w:rPr>
      </w:pPr>
      <w:r w:rsidRPr="00CF2ACB">
        <w:rPr>
          <w:rFonts w:ascii="仿宋_GB2312" w:eastAsia="仿宋_GB2312" w:hint="eastAsia"/>
          <w:sz w:val="32"/>
          <w:szCs w:val="32"/>
        </w:rPr>
        <w:t>为贯彻落实《自然资源部 农业农村部关于加强和改进永久基本农田保护工作的通知》</w:t>
      </w:r>
      <w:r w:rsidRPr="00CF2ACB">
        <w:rPr>
          <w:rFonts w:ascii="仿宋_GB2312" w:eastAsia="仿宋_GB2312" w:hAnsi="仿宋" w:hint="eastAsia"/>
          <w:sz w:val="32"/>
          <w:szCs w:val="32"/>
        </w:rPr>
        <w:t>（自然资〔2019〕1号）和《自然资源部办公厅关于划定永久基本农田储备区有关问题的通知》（自然资办函〔2019〕343号）关于永久基本农田</w:t>
      </w:r>
      <w:r w:rsidRPr="00CF2ACB">
        <w:rPr>
          <w:rFonts w:ascii="仿宋_GB2312" w:eastAsia="仿宋_GB2312" w:hint="eastAsia"/>
          <w:sz w:val="32"/>
          <w:szCs w:val="32"/>
        </w:rPr>
        <w:t>储备区</w:t>
      </w:r>
      <w:r w:rsidRPr="00CF2ACB">
        <w:rPr>
          <w:rFonts w:ascii="仿宋_GB2312" w:eastAsia="仿宋_GB2312" w:hAnsi="仿宋" w:hint="eastAsia"/>
          <w:sz w:val="32"/>
          <w:szCs w:val="32"/>
        </w:rPr>
        <w:t>划定工作的部署</w:t>
      </w:r>
      <w:r w:rsidRPr="00CF2ACB">
        <w:rPr>
          <w:rFonts w:ascii="仿宋_GB2312" w:eastAsia="仿宋_GB2312" w:hint="eastAsia"/>
          <w:sz w:val="32"/>
          <w:szCs w:val="32"/>
        </w:rPr>
        <w:t>，扎实开展全省储备区划定工作，结合我省实际，制定本方案。</w:t>
      </w:r>
    </w:p>
    <w:p w:rsidR="00CD287C" w:rsidRPr="00CF2ACB" w:rsidRDefault="00CD287C" w:rsidP="00CD287C">
      <w:pPr>
        <w:adjustRightInd w:val="0"/>
        <w:snapToGrid w:val="0"/>
        <w:spacing w:line="560" w:lineRule="exact"/>
        <w:ind w:firstLineChars="200" w:firstLine="640"/>
        <w:rPr>
          <w:rFonts w:ascii="黑体" w:eastAsia="黑体" w:hAnsi="黑体" w:hint="eastAsia"/>
          <w:sz w:val="32"/>
          <w:szCs w:val="32"/>
        </w:rPr>
      </w:pPr>
      <w:r w:rsidRPr="00CF2ACB">
        <w:rPr>
          <w:rFonts w:ascii="黑体" w:eastAsia="黑体" w:hAnsi="黑体" w:hint="eastAsia"/>
          <w:sz w:val="32"/>
          <w:szCs w:val="32"/>
        </w:rPr>
        <w:t>一、工作任务</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省自然资源和规划厅会同省农业农村厅（以下简称“两厅”）根据划定工作要求，结合我省未来一定时期重大建设项目、生态建设调整和永久基本农田核实整改需要等，分析确定各市县储备区划定目标任务。各市县自然资源和规划局会同农业农村局（以下简称“两局”）利用国家下发的核实软件对拟划入储备区的耕地图斑进行实地外业核实，查清耕地利用现状，并建立永久基本农田储备区数据库。</w:t>
      </w:r>
    </w:p>
    <w:p w:rsidR="00CD287C" w:rsidRPr="00CF2ACB" w:rsidRDefault="00CD287C" w:rsidP="00CD287C">
      <w:pPr>
        <w:adjustRightInd w:val="0"/>
        <w:snapToGrid w:val="0"/>
        <w:spacing w:line="560" w:lineRule="exact"/>
        <w:ind w:firstLineChars="200" w:firstLine="640"/>
        <w:rPr>
          <w:rFonts w:ascii="黑体" w:eastAsia="黑体" w:hAnsi="黑体" w:hint="eastAsia"/>
          <w:sz w:val="32"/>
          <w:szCs w:val="32"/>
        </w:rPr>
      </w:pPr>
      <w:r w:rsidRPr="00CF2ACB">
        <w:rPr>
          <w:rFonts w:ascii="黑体" w:eastAsia="黑体" w:hAnsi="黑体" w:hint="eastAsia"/>
          <w:sz w:val="32"/>
          <w:szCs w:val="32"/>
        </w:rPr>
        <w:t>二、划定依据和工作基础</w:t>
      </w:r>
    </w:p>
    <w:p w:rsidR="00CD287C" w:rsidRPr="00CF2ACB" w:rsidRDefault="00CD287C" w:rsidP="00CD287C">
      <w:pPr>
        <w:adjustRightInd w:val="0"/>
        <w:snapToGrid w:val="0"/>
        <w:spacing w:line="560" w:lineRule="exact"/>
        <w:ind w:firstLineChars="200" w:firstLine="643"/>
        <w:rPr>
          <w:rFonts w:ascii="楷体_GB2312" w:eastAsia="楷体_GB2312" w:hint="eastAsia"/>
          <w:b/>
          <w:sz w:val="32"/>
          <w:szCs w:val="32"/>
        </w:rPr>
      </w:pPr>
      <w:r w:rsidRPr="00CF2ACB">
        <w:rPr>
          <w:rFonts w:ascii="楷体_GB2312" w:eastAsia="楷体_GB2312" w:hint="eastAsia"/>
          <w:b/>
          <w:sz w:val="32"/>
          <w:szCs w:val="32"/>
        </w:rPr>
        <w:t>（一）法律法规和政策依据。</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1．《土地管理法》</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2．《农业法》</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3．《基本农田保护条例》</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Ansi="仿宋" w:hint="eastAsia"/>
          <w:sz w:val="32"/>
          <w:szCs w:val="32"/>
        </w:rPr>
        <w:t>4．《海南省人民政府办公厅关于进一步做好永久基本农田划定和设施农用地管理工作的通知》（琼府办〔201</w:t>
      </w:r>
      <w:r>
        <w:rPr>
          <w:rFonts w:ascii="仿宋_GB2312" w:eastAsia="仿宋_GB2312" w:hAnsi="仿宋" w:hint="eastAsia"/>
          <w:sz w:val="32"/>
          <w:szCs w:val="32"/>
        </w:rPr>
        <w:t>5</w:t>
      </w:r>
      <w:r w:rsidRPr="00CF2ACB">
        <w:rPr>
          <w:rFonts w:ascii="仿宋_GB2312" w:eastAsia="仿宋_GB2312" w:hAnsi="仿宋" w:hint="eastAsia"/>
          <w:sz w:val="32"/>
          <w:szCs w:val="32"/>
        </w:rPr>
        <w:t>〕26号）</w:t>
      </w:r>
    </w:p>
    <w:p w:rsidR="00CD287C" w:rsidRPr="00CF2ACB" w:rsidRDefault="00CD287C" w:rsidP="00CD287C">
      <w:pPr>
        <w:adjustRightInd w:val="0"/>
        <w:snapToGrid w:val="0"/>
        <w:spacing w:line="560" w:lineRule="exact"/>
        <w:ind w:firstLineChars="200" w:firstLine="640"/>
        <w:rPr>
          <w:rFonts w:ascii="仿宋_GB2312" w:eastAsia="仿宋_GB2312" w:hAnsi="仿宋" w:hint="eastAsia"/>
          <w:sz w:val="32"/>
          <w:szCs w:val="32"/>
        </w:rPr>
      </w:pPr>
      <w:r w:rsidRPr="00CF2ACB">
        <w:rPr>
          <w:rFonts w:ascii="仿宋_GB2312" w:eastAsia="仿宋_GB2312" w:hint="eastAsia"/>
          <w:sz w:val="32"/>
          <w:szCs w:val="32"/>
        </w:rPr>
        <w:lastRenderedPageBreak/>
        <w:t>5．</w:t>
      </w:r>
      <w:r w:rsidRPr="00CF2ACB">
        <w:rPr>
          <w:rFonts w:ascii="仿宋_GB2312" w:eastAsia="仿宋_GB2312" w:hAnsi="仿宋" w:hint="eastAsia"/>
          <w:sz w:val="32"/>
          <w:szCs w:val="32"/>
        </w:rPr>
        <w:t>《国土资源部 农业部关于全面划定永久基本农田实行特殊保护的通知》（国土资规〔201</w:t>
      </w:r>
      <w:r>
        <w:rPr>
          <w:rFonts w:ascii="仿宋_GB2312" w:eastAsia="仿宋_GB2312" w:hAnsi="仿宋" w:hint="eastAsia"/>
          <w:sz w:val="32"/>
          <w:szCs w:val="32"/>
        </w:rPr>
        <w:t>6</w:t>
      </w:r>
      <w:r w:rsidRPr="00CF2ACB">
        <w:rPr>
          <w:rFonts w:ascii="仿宋_GB2312" w:eastAsia="仿宋_GB2312" w:hAnsi="仿宋" w:hint="eastAsia"/>
          <w:sz w:val="32"/>
          <w:szCs w:val="32"/>
        </w:rPr>
        <w:t>〕10号）</w:t>
      </w:r>
    </w:p>
    <w:p w:rsidR="00CD287C" w:rsidRPr="00CF2ACB" w:rsidRDefault="00CD287C" w:rsidP="00CD287C">
      <w:pPr>
        <w:adjustRightInd w:val="0"/>
        <w:snapToGrid w:val="0"/>
        <w:spacing w:line="560" w:lineRule="exact"/>
        <w:ind w:firstLineChars="200" w:firstLine="640"/>
        <w:rPr>
          <w:rFonts w:ascii="仿宋_GB2312" w:eastAsia="仿宋_GB2312" w:hAnsi="仿宋" w:hint="eastAsia"/>
          <w:sz w:val="32"/>
          <w:szCs w:val="32"/>
        </w:rPr>
      </w:pPr>
      <w:r w:rsidRPr="00CF2ACB">
        <w:rPr>
          <w:rFonts w:ascii="仿宋_GB2312" w:eastAsia="仿宋_GB2312" w:hAnsi="仿宋" w:hint="eastAsia"/>
          <w:sz w:val="32"/>
          <w:szCs w:val="32"/>
        </w:rPr>
        <w:t>6．《国土资源部关于全面实行永久基本农田特殊保护的通知》（国土资规〔201</w:t>
      </w:r>
      <w:r>
        <w:rPr>
          <w:rFonts w:ascii="仿宋_GB2312" w:eastAsia="仿宋_GB2312" w:hAnsi="仿宋" w:hint="eastAsia"/>
          <w:sz w:val="32"/>
          <w:szCs w:val="32"/>
        </w:rPr>
        <w:t>8</w:t>
      </w:r>
      <w:r w:rsidRPr="00CF2ACB">
        <w:rPr>
          <w:rFonts w:ascii="仿宋_GB2312" w:eastAsia="仿宋_GB2312" w:hAnsi="仿宋" w:hint="eastAsia"/>
          <w:sz w:val="32"/>
          <w:szCs w:val="32"/>
        </w:rPr>
        <w:t>〕1号）</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Ansi="仿宋" w:hint="eastAsia"/>
          <w:sz w:val="32"/>
          <w:szCs w:val="32"/>
        </w:rPr>
        <w:t>7．</w:t>
      </w:r>
      <w:r w:rsidRPr="00CF2ACB">
        <w:rPr>
          <w:rFonts w:ascii="仿宋_GB2312" w:eastAsia="仿宋_GB2312" w:hint="eastAsia"/>
          <w:sz w:val="32"/>
          <w:szCs w:val="32"/>
        </w:rPr>
        <w:t>《自然资源部 农业农村部关于加强和改进永久基本农田保护工作的通</w:t>
      </w:r>
      <w:r w:rsidRPr="00CF2ACB">
        <w:rPr>
          <w:rFonts w:ascii="仿宋_GB2312" w:eastAsia="仿宋_GB2312" w:hAnsi="仿宋" w:hint="eastAsia"/>
          <w:sz w:val="32"/>
          <w:szCs w:val="32"/>
        </w:rPr>
        <w:t>知》（自然资规〔2019〕1号</w:t>
      </w:r>
      <w:r w:rsidRPr="00CF2ACB">
        <w:rPr>
          <w:rFonts w:ascii="仿宋_GB2312" w:eastAsia="仿宋_GB2312" w:hint="eastAsia"/>
          <w:sz w:val="32"/>
          <w:szCs w:val="32"/>
        </w:rPr>
        <w:t>）</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8.</w:t>
      </w:r>
      <w:r w:rsidRPr="00CF2ACB">
        <w:rPr>
          <w:rFonts w:ascii="仿宋_GB2312" w:eastAsia="仿宋_GB2312" w:hAnsi="仿宋" w:hint="eastAsia"/>
          <w:sz w:val="32"/>
          <w:szCs w:val="32"/>
        </w:rPr>
        <w:t>《自然资源部办公厅关于划定永久基本农田储备区有关问题的通知》（自然资办函〔2019〕343号）</w:t>
      </w:r>
    </w:p>
    <w:p w:rsidR="00CD287C" w:rsidRPr="00CF2ACB" w:rsidRDefault="00CD287C" w:rsidP="00CD287C">
      <w:pPr>
        <w:adjustRightInd w:val="0"/>
        <w:snapToGrid w:val="0"/>
        <w:spacing w:line="560" w:lineRule="exact"/>
        <w:ind w:firstLineChars="200" w:firstLine="643"/>
        <w:rPr>
          <w:rFonts w:ascii="楷体_GB2312" w:eastAsia="楷体_GB2312" w:hint="eastAsia"/>
          <w:b/>
          <w:sz w:val="32"/>
          <w:szCs w:val="32"/>
        </w:rPr>
      </w:pPr>
      <w:r w:rsidRPr="00CF2ACB">
        <w:rPr>
          <w:rFonts w:ascii="楷体_GB2312" w:eastAsia="楷体_GB2312" w:hint="eastAsia"/>
          <w:b/>
          <w:sz w:val="32"/>
          <w:szCs w:val="32"/>
        </w:rPr>
        <w:t>（二）工作基础。</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1．海南省第三次国土调查遥感影像</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2．海南省最新年度土地变更调查成果</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3.海南省第三次国土调查初步成果</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4．海南省地理国情普查数据</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5．海南省总体规划</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6．海南省土地整治规划</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7．海南省耕地质量等别更新评价和监测评价成果</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8．海南省土地综合整治和高标准农田建设成果</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9．建设项目用地审批和矿业权审批登记</w:t>
      </w:r>
    </w:p>
    <w:p w:rsidR="00CD287C" w:rsidRPr="00CF2ACB" w:rsidRDefault="00CD287C" w:rsidP="00CD287C">
      <w:pPr>
        <w:adjustRightInd w:val="0"/>
        <w:snapToGrid w:val="0"/>
        <w:spacing w:line="560" w:lineRule="exact"/>
        <w:ind w:firstLineChars="200" w:firstLine="640"/>
        <w:rPr>
          <w:rFonts w:ascii="黑体" w:eastAsia="黑体" w:hAnsi="黑体" w:hint="eastAsia"/>
          <w:sz w:val="32"/>
          <w:szCs w:val="32"/>
        </w:rPr>
      </w:pPr>
      <w:r w:rsidRPr="00CF2ACB">
        <w:rPr>
          <w:rFonts w:ascii="黑体" w:eastAsia="黑体" w:hAnsi="黑体" w:hint="eastAsia"/>
          <w:sz w:val="32"/>
          <w:szCs w:val="32"/>
        </w:rPr>
        <w:t>三、划定要求</w:t>
      </w:r>
    </w:p>
    <w:p w:rsidR="00CD287C" w:rsidRPr="00CF2ACB" w:rsidRDefault="00CD287C" w:rsidP="00CD287C">
      <w:pPr>
        <w:adjustRightInd w:val="0"/>
        <w:snapToGrid w:val="0"/>
        <w:spacing w:line="560" w:lineRule="exact"/>
        <w:ind w:firstLineChars="200" w:firstLine="643"/>
        <w:rPr>
          <w:rFonts w:ascii="仿宋_GB2312" w:eastAsia="仿宋_GB2312" w:hAnsi="仿宋" w:hint="eastAsia"/>
          <w:sz w:val="32"/>
          <w:szCs w:val="32"/>
        </w:rPr>
      </w:pPr>
      <w:r w:rsidRPr="00CF2ACB">
        <w:rPr>
          <w:rFonts w:ascii="楷体_GB2312" w:eastAsia="楷体_GB2312" w:hAnsi="仿宋" w:hint="eastAsia"/>
          <w:b/>
          <w:sz w:val="32"/>
          <w:szCs w:val="32"/>
        </w:rPr>
        <w:t>（一）划定基本要求。</w:t>
      </w:r>
      <w:r w:rsidRPr="00CF2ACB">
        <w:rPr>
          <w:rFonts w:ascii="仿宋_GB2312" w:eastAsia="仿宋_GB2312" w:hAnsi="仿宋" w:hint="eastAsia"/>
          <w:sz w:val="32"/>
          <w:szCs w:val="32"/>
        </w:rPr>
        <w:t>永久基本农田储备区的地类必须是耕地；划入永久基本农田储备区内耕地平均质量等别，必须高于下发的储备区潜力成果中的耕地平均质量等别；符合市县总体规划，划定的永久基本农田储备区在总体规划中规划为一般耕地；实地</w:t>
      </w:r>
      <w:r w:rsidRPr="00CF2ACB">
        <w:rPr>
          <w:rFonts w:ascii="仿宋_GB2312" w:eastAsia="仿宋_GB2312" w:hAnsi="仿宋" w:hint="eastAsia"/>
          <w:sz w:val="32"/>
          <w:szCs w:val="32"/>
        </w:rPr>
        <w:lastRenderedPageBreak/>
        <w:t>外业调查地类必须为耕地；永久基本农田储备区划定规模不低于省下达的划定任务。</w:t>
      </w:r>
    </w:p>
    <w:p w:rsidR="00CD287C" w:rsidRPr="00CF2ACB" w:rsidRDefault="00CD287C" w:rsidP="00CD287C">
      <w:pPr>
        <w:adjustRightInd w:val="0"/>
        <w:snapToGrid w:val="0"/>
        <w:spacing w:line="560" w:lineRule="exact"/>
        <w:ind w:firstLineChars="200" w:firstLine="643"/>
        <w:rPr>
          <w:rFonts w:ascii="仿宋_GB2312" w:eastAsia="仿宋_GB2312" w:hint="eastAsia"/>
          <w:sz w:val="32"/>
          <w:szCs w:val="32"/>
        </w:rPr>
      </w:pPr>
      <w:r w:rsidRPr="00CF2ACB">
        <w:rPr>
          <w:rFonts w:ascii="仿宋_GB2312" w:eastAsia="仿宋_GB2312" w:hAnsi="仿宋" w:hint="eastAsia"/>
          <w:b/>
          <w:sz w:val="32"/>
          <w:szCs w:val="32"/>
        </w:rPr>
        <w:t>（二）</w:t>
      </w:r>
      <w:r w:rsidRPr="00CF2ACB">
        <w:rPr>
          <w:rFonts w:ascii="仿宋_GB2312" w:eastAsia="仿宋_GB2312" w:hint="eastAsia"/>
          <w:b/>
          <w:sz w:val="32"/>
          <w:szCs w:val="32"/>
        </w:rPr>
        <w:t>优先划为永久基本农田储备区的耕地。</w:t>
      </w:r>
      <w:r w:rsidRPr="00CF2ACB">
        <w:rPr>
          <w:rFonts w:ascii="仿宋_GB2312" w:eastAsia="仿宋_GB2312" w:hint="eastAsia"/>
          <w:sz w:val="32"/>
          <w:szCs w:val="32"/>
        </w:rPr>
        <w:t>已建成的高标准农田，正在实施整治的中低产田；与已划定的永久基本农田集中连片，质量高于本地区平均水平且坡度小于15度的耕地；城镇周边和交通沿线优先保护类和安全利用类耕地；已经划入“两区”的优质耕地；集中连片、规模较大，有良好的水利与水土保持设施的耕地等。</w:t>
      </w:r>
    </w:p>
    <w:p w:rsidR="00CD287C" w:rsidRPr="00CF2ACB" w:rsidRDefault="00CD287C" w:rsidP="00CD287C">
      <w:pPr>
        <w:adjustRightInd w:val="0"/>
        <w:snapToGrid w:val="0"/>
        <w:spacing w:line="560" w:lineRule="exact"/>
        <w:ind w:firstLineChars="200" w:firstLine="643"/>
        <w:rPr>
          <w:rFonts w:ascii="仿宋_GB2312" w:eastAsia="仿宋_GB2312" w:hint="eastAsia"/>
          <w:sz w:val="32"/>
          <w:szCs w:val="32"/>
        </w:rPr>
      </w:pPr>
      <w:r w:rsidRPr="00CF2ACB">
        <w:rPr>
          <w:rFonts w:ascii="仿宋_GB2312" w:eastAsia="仿宋_GB2312" w:hint="eastAsia"/>
          <w:b/>
          <w:sz w:val="32"/>
          <w:szCs w:val="32"/>
        </w:rPr>
        <w:t>（三）严禁划为永久基本农田储备区的耕地。</w:t>
      </w:r>
      <w:r w:rsidRPr="00CF2ACB">
        <w:rPr>
          <w:rFonts w:ascii="仿宋_GB2312" w:eastAsia="仿宋_GB2312" w:hint="eastAsia"/>
          <w:sz w:val="32"/>
          <w:szCs w:val="32"/>
        </w:rPr>
        <w:t>位于生态保护红线范围内的耕地；受污染严重且无法修复，依据《土壤污染防治法》列入严格控制类耕地；因自然灾害和生产建设活动严重损毁且无法复垦的耕地；纳入生态退耕还林还草范围的耕地；25度以上的坡耕地；河道两岸堤防之间范围内不适宜稳定利用的耕地；已批准建设项目占用或已办理设施农用地手续的耕地；可调整地类等。</w:t>
      </w:r>
    </w:p>
    <w:p w:rsidR="00CD287C" w:rsidRPr="00CF2ACB" w:rsidRDefault="00CD287C" w:rsidP="00CD287C">
      <w:pPr>
        <w:adjustRightInd w:val="0"/>
        <w:snapToGrid w:val="0"/>
        <w:spacing w:line="560" w:lineRule="exact"/>
        <w:ind w:firstLineChars="200" w:firstLine="640"/>
        <w:rPr>
          <w:rFonts w:ascii="黑体" w:eastAsia="黑体" w:hAnsi="黑体" w:hint="eastAsia"/>
          <w:sz w:val="32"/>
          <w:szCs w:val="32"/>
        </w:rPr>
      </w:pPr>
      <w:r w:rsidRPr="00CF2ACB">
        <w:rPr>
          <w:rFonts w:ascii="黑体" w:eastAsia="黑体" w:hAnsi="黑体" w:hint="eastAsia"/>
          <w:sz w:val="32"/>
          <w:szCs w:val="32"/>
        </w:rPr>
        <w:t>四、工作步骤</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各市、县应按照划定要求，制定具体工作方案，明确目标任务、工作步骤、时间安排和保障措施等，规范有序开展划定工作，确保按时保质完成永久基本农田储备区划定任务。</w:t>
      </w:r>
    </w:p>
    <w:p w:rsidR="00CD287C" w:rsidRPr="00CF2ACB" w:rsidRDefault="00CD287C" w:rsidP="00CD287C">
      <w:pPr>
        <w:adjustRightInd w:val="0"/>
        <w:snapToGrid w:val="0"/>
        <w:spacing w:line="560" w:lineRule="exact"/>
        <w:ind w:firstLineChars="200" w:firstLine="643"/>
        <w:rPr>
          <w:rFonts w:ascii="仿宋_GB2312" w:eastAsia="仿宋_GB2312" w:hint="eastAsia"/>
          <w:sz w:val="32"/>
          <w:szCs w:val="32"/>
        </w:rPr>
      </w:pPr>
      <w:r w:rsidRPr="00CF2ACB">
        <w:rPr>
          <w:rFonts w:ascii="楷体_GB2312" w:eastAsia="楷体_GB2312" w:hAnsi="仿宋" w:hint="eastAsia"/>
          <w:b/>
          <w:sz w:val="32"/>
          <w:szCs w:val="32"/>
        </w:rPr>
        <w:t>（一）确定目标任务（2019年8月</w:t>
      </w:r>
      <w:bookmarkStart w:id="0" w:name="_GoBack"/>
      <w:bookmarkEnd w:id="0"/>
      <w:r w:rsidRPr="00CF2ACB">
        <w:rPr>
          <w:rFonts w:ascii="楷体_GB2312" w:eastAsia="楷体_GB2312" w:hAnsi="仿宋" w:hint="eastAsia"/>
          <w:b/>
          <w:sz w:val="32"/>
          <w:szCs w:val="32"/>
        </w:rPr>
        <w:t>底前）。</w:t>
      </w:r>
      <w:r w:rsidRPr="00CF2ACB">
        <w:rPr>
          <w:rFonts w:ascii="仿宋_GB2312" w:eastAsia="仿宋_GB2312" w:hint="eastAsia"/>
          <w:sz w:val="32"/>
          <w:szCs w:val="32"/>
        </w:rPr>
        <w:t>两厅根据各市县未来一定时期重大建设项目占用、生态建设调整和永久基本农田核实整改需要等，结合自然资源部下发的储备区潜力图斑，分析确定各市县永久基本农田储备区划定目标，并将目标任务逐级分</w:t>
      </w:r>
      <w:r w:rsidRPr="00CF2ACB">
        <w:rPr>
          <w:rFonts w:ascii="仿宋_GB2312" w:eastAsia="仿宋_GB2312" w:hint="eastAsia"/>
          <w:sz w:val="32"/>
          <w:szCs w:val="32"/>
        </w:rPr>
        <w:lastRenderedPageBreak/>
        <w:t>解落实到市县。</w:t>
      </w:r>
    </w:p>
    <w:p w:rsidR="00CD287C" w:rsidRPr="00CF2ACB" w:rsidRDefault="00CD287C" w:rsidP="00CD287C">
      <w:pPr>
        <w:adjustRightInd w:val="0"/>
        <w:snapToGrid w:val="0"/>
        <w:spacing w:line="560" w:lineRule="exact"/>
        <w:ind w:firstLineChars="200" w:firstLine="643"/>
        <w:rPr>
          <w:rFonts w:ascii="仿宋_GB2312" w:eastAsia="仿宋_GB2312" w:hint="eastAsia"/>
          <w:sz w:val="32"/>
          <w:szCs w:val="32"/>
        </w:rPr>
      </w:pPr>
      <w:r w:rsidRPr="00CF2ACB">
        <w:rPr>
          <w:rFonts w:ascii="楷体_GB2312" w:eastAsia="楷体_GB2312" w:hAnsi="仿宋" w:hint="eastAsia"/>
          <w:b/>
          <w:sz w:val="32"/>
          <w:szCs w:val="32"/>
        </w:rPr>
        <w:t>（二）实地核实（2019年9月15日前）。</w:t>
      </w:r>
      <w:r w:rsidRPr="00CF2ACB">
        <w:rPr>
          <w:rFonts w:ascii="仿宋_GB2312" w:eastAsia="仿宋_GB2312" w:hint="eastAsia"/>
          <w:sz w:val="32"/>
          <w:szCs w:val="32"/>
        </w:rPr>
        <w:t>两局在对储备区划定潜力分析的基础上，确定拟划入储备区的具体潜力图斑，利用自然资源部下发的核实软件进行逐图斑、逐地块核实，填写实地核实情况，查清耕地利用现状，拍摄上传带有定位信息和方位信息的实地照片及视频，确保图地一致，形成与实地相符的永久基本农田储备区。</w:t>
      </w:r>
    </w:p>
    <w:p w:rsidR="00CD287C" w:rsidRPr="00CF2ACB" w:rsidRDefault="00CD287C" w:rsidP="00CD287C">
      <w:pPr>
        <w:adjustRightInd w:val="0"/>
        <w:snapToGrid w:val="0"/>
        <w:spacing w:line="560" w:lineRule="exact"/>
        <w:ind w:firstLineChars="200" w:firstLine="643"/>
        <w:rPr>
          <w:rFonts w:ascii="仿宋_GB2312" w:eastAsia="仿宋_GB2312" w:hint="eastAsia"/>
          <w:sz w:val="32"/>
          <w:szCs w:val="32"/>
        </w:rPr>
      </w:pPr>
      <w:r w:rsidRPr="00CF2ACB">
        <w:rPr>
          <w:rFonts w:ascii="楷体_GB2312" w:eastAsia="楷体_GB2312" w:hAnsi="仿宋" w:hint="eastAsia"/>
          <w:b/>
          <w:sz w:val="32"/>
          <w:szCs w:val="32"/>
        </w:rPr>
        <w:t>（三）编制划定方案（2019年9月底前）。</w:t>
      </w:r>
      <w:r w:rsidRPr="00CF2ACB">
        <w:rPr>
          <w:rFonts w:ascii="仿宋_GB2312" w:eastAsia="仿宋_GB2312" w:hint="eastAsia"/>
          <w:sz w:val="32"/>
          <w:szCs w:val="32"/>
        </w:rPr>
        <w:t>根据省下达的划定任务，两局编制本级永久基本农田储备区划定方案，划定方案包括以下主要内容：永久基本农田储备区划定潜力图斑及核实情况、划定依据、全域永久基本农田储备区划定情况、城市（镇）周边范围内永久基本农田储备区划定情况（应包括数量、质量、坡度、布局、地类、落实到图斑等）、分布图（包含城镇周边范围线）等。</w:t>
      </w:r>
    </w:p>
    <w:p w:rsidR="00CD287C" w:rsidRPr="00CF2ACB" w:rsidRDefault="00CD287C" w:rsidP="00CD287C">
      <w:pPr>
        <w:adjustRightInd w:val="0"/>
        <w:snapToGrid w:val="0"/>
        <w:spacing w:line="560" w:lineRule="exact"/>
        <w:ind w:firstLineChars="200" w:firstLine="643"/>
        <w:rPr>
          <w:rFonts w:ascii="仿宋_GB2312" w:eastAsia="仿宋_GB2312" w:hint="eastAsia"/>
          <w:sz w:val="32"/>
          <w:szCs w:val="32"/>
        </w:rPr>
      </w:pPr>
      <w:r w:rsidRPr="00CF2ACB">
        <w:rPr>
          <w:rFonts w:ascii="楷体_GB2312" w:eastAsia="楷体_GB2312" w:hAnsi="仿宋" w:hint="eastAsia"/>
          <w:b/>
          <w:sz w:val="32"/>
          <w:szCs w:val="32"/>
        </w:rPr>
        <w:t>（四）建立数据库（2019年10月10日前）。</w:t>
      </w:r>
      <w:r w:rsidRPr="00CF2ACB">
        <w:rPr>
          <w:rFonts w:ascii="仿宋_GB2312" w:eastAsia="仿宋_GB2312" w:hint="eastAsia"/>
          <w:sz w:val="32"/>
          <w:szCs w:val="32"/>
        </w:rPr>
        <w:t>根据储备区划定情况，按照永久基本农田储备区数据库数据结构（详见附表1），完善相关数据信息，以县级行政区划为单元，建立永久基本农田储备区数据库。依据永久基本农田数据库质检标准和程序，逐级对数据库进行质检。</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1．空间定位基础。平面坐标系采用“2000国家大地坐标系”，高程基准采用“1985国家高程基准”，地图投影采用“高斯—克吕格投影”。</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2．数据库格式：Personal Geodatabase（.MDB）格式，命</w:t>
      </w:r>
      <w:r w:rsidRPr="00CF2ACB">
        <w:rPr>
          <w:rFonts w:ascii="仿宋_GB2312" w:eastAsia="仿宋_GB2312" w:hint="eastAsia"/>
          <w:sz w:val="32"/>
          <w:szCs w:val="32"/>
        </w:rPr>
        <w:lastRenderedPageBreak/>
        <w:t>名为（县级行政区划代码6位）XX省XX市（县）永久基本农田储备区划定成果数据库.MDB。</w:t>
      </w:r>
    </w:p>
    <w:p w:rsidR="00CD287C" w:rsidRPr="00CF2ACB" w:rsidRDefault="00CD287C" w:rsidP="00CD287C">
      <w:pPr>
        <w:adjustRightInd w:val="0"/>
        <w:snapToGrid w:val="0"/>
        <w:spacing w:line="560" w:lineRule="exact"/>
        <w:ind w:firstLineChars="200" w:firstLine="643"/>
        <w:rPr>
          <w:rFonts w:ascii="仿宋_GB2312" w:eastAsia="仿宋_GB2312" w:hint="eastAsia"/>
          <w:sz w:val="32"/>
          <w:szCs w:val="32"/>
        </w:rPr>
      </w:pPr>
      <w:r w:rsidRPr="00CF2ACB">
        <w:rPr>
          <w:rFonts w:ascii="楷体_GB2312" w:eastAsia="楷体_GB2312" w:hAnsi="仿宋" w:hint="eastAsia"/>
          <w:b/>
          <w:sz w:val="32"/>
          <w:szCs w:val="32"/>
        </w:rPr>
        <w:t>（五）县级自验（2019年10月15日前）。</w:t>
      </w:r>
      <w:r w:rsidRPr="00CF2ACB">
        <w:rPr>
          <w:rFonts w:ascii="仿宋_GB2312" w:eastAsia="仿宋_GB2312" w:hint="eastAsia"/>
          <w:sz w:val="32"/>
          <w:szCs w:val="32"/>
        </w:rPr>
        <w:t>两局对永久基本农田储备区划定成果进行论证自验。通过自验的，经报本市县政府同意后，由两局向两厅提出验收申请。</w:t>
      </w:r>
    </w:p>
    <w:p w:rsidR="00CD287C" w:rsidRPr="00CF2ACB" w:rsidRDefault="00CD287C" w:rsidP="00CD287C">
      <w:pPr>
        <w:adjustRightInd w:val="0"/>
        <w:snapToGrid w:val="0"/>
        <w:spacing w:line="560" w:lineRule="exact"/>
        <w:ind w:firstLineChars="200" w:firstLine="643"/>
        <w:rPr>
          <w:rFonts w:ascii="仿宋_GB2312" w:eastAsia="仿宋_GB2312" w:hint="eastAsia"/>
          <w:sz w:val="32"/>
          <w:szCs w:val="32"/>
        </w:rPr>
      </w:pPr>
      <w:r w:rsidRPr="00CF2ACB">
        <w:rPr>
          <w:rFonts w:ascii="楷体_GB2312" w:eastAsia="楷体_GB2312" w:hAnsi="仿宋" w:hint="eastAsia"/>
          <w:b/>
          <w:sz w:val="32"/>
          <w:szCs w:val="32"/>
        </w:rPr>
        <w:t>（六）省级验收（2019年10月25日前）。</w:t>
      </w:r>
      <w:r w:rsidRPr="00CF2ACB">
        <w:rPr>
          <w:rFonts w:ascii="仿宋_GB2312" w:eastAsia="仿宋_GB2312" w:hint="eastAsia"/>
          <w:sz w:val="32"/>
          <w:szCs w:val="32"/>
        </w:rPr>
        <w:t>两厅对各市县永久基本农田储备区划定成果进行省级验收。</w:t>
      </w:r>
    </w:p>
    <w:p w:rsidR="00CD287C" w:rsidRPr="00CF2ACB" w:rsidRDefault="00CD287C" w:rsidP="00CD287C">
      <w:pPr>
        <w:adjustRightInd w:val="0"/>
        <w:snapToGrid w:val="0"/>
        <w:spacing w:line="560" w:lineRule="exact"/>
        <w:ind w:firstLineChars="200" w:firstLine="643"/>
        <w:rPr>
          <w:rFonts w:ascii="仿宋_GB2312" w:eastAsia="仿宋_GB2312" w:hint="eastAsia"/>
          <w:sz w:val="32"/>
          <w:szCs w:val="32"/>
        </w:rPr>
      </w:pPr>
      <w:r w:rsidRPr="00CF2ACB">
        <w:rPr>
          <w:rFonts w:ascii="楷体_GB2312" w:eastAsia="楷体_GB2312" w:hAnsi="仿宋" w:hint="eastAsia"/>
          <w:b/>
          <w:sz w:val="32"/>
          <w:szCs w:val="32"/>
        </w:rPr>
        <w:t>（七）初步成果汇交（2019年10月31日前）。</w:t>
      </w:r>
      <w:r w:rsidRPr="00CF2ACB">
        <w:rPr>
          <w:rFonts w:ascii="仿宋_GB2312" w:eastAsia="仿宋_GB2312" w:hint="eastAsia"/>
          <w:sz w:val="32"/>
          <w:szCs w:val="32"/>
        </w:rPr>
        <w:t>通过两厅验收的永久基本农田储备区划定成果，以县级行政区划为单元，汇交到自然资源部和农业农村部（以下简称“两部”），做到验收一个，汇交一个，2019年10月底前各市县永久基本农田储备区划定成果需全部会交到两部。汇交成果包括：划定方案、划定成果数据库、划定情况表（详见附表2）、划定成果图件。</w:t>
      </w:r>
    </w:p>
    <w:p w:rsidR="00CD287C" w:rsidRPr="00CF2ACB" w:rsidRDefault="00CD287C" w:rsidP="00CD287C">
      <w:pPr>
        <w:adjustRightInd w:val="0"/>
        <w:snapToGrid w:val="0"/>
        <w:spacing w:line="560" w:lineRule="exact"/>
        <w:ind w:firstLineChars="200" w:firstLine="643"/>
        <w:rPr>
          <w:rFonts w:ascii="仿宋_GB2312" w:eastAsia="仿宋_GB2312" w:hint="eastAsia"/>
          <w:b/>
          <w:sz w:val="32"/>
          <w:szCs w:val="32"/>
        </w:rPr>
      </w:pPr>
      <w:r w:rsidRPr="00CF2ACB">
        <w:rPr>
          <w:rFonts w:ascii="楷体_GB2312" w:eastAsia="楷体_GB2312" w:hAnsi="仿宋" w:hint="eastAsia"/>
          <w:b/>
          <w:sz w:val="32"/>
          <w:szCs w:val="32"/>
        </w:rPr>
        <w:t>（八）成果复核整改（2019年12月前）。</w:t>
      </w:r>
      <w:r w:rsidRPr="00CF2ACB">
        <w:rPr>
          <w:rFonts w:ascii="仿宋_GB2312" w:eastAsia="仿宋_GB2312" w:hint="eastAsia"/>
          <w:sz w:val="32"/>
          <w:szCs w:val="32"/>
        </w:rPr>
        <w:t>各市县储备区划定成果上报后，两部将运用信息化手段，利用“三调”成果，对储备区划定成果进行复核，复核通过的纳入储备区数据库管理，未通过的退回整改、完善。2019年底前全面完成永久基本农田储备区划定工作。</w:t>
      </w:r>
    </w:p>
    <w:p w:rsidR="00CD287C" w:rsidRPr="00CF2ACB" w:rsidRDefault="00CD287C" w:rsidP="00CD287C">
      <w:pPr>
        <w:adjustRightInd w:val="0"/>
        <w:snapToGrid w:val="0"/>
        <w:spacing w:line="560" w:lineRule="exact"/>
        <w:ind w:firstLineChars="200" w:firstLine="640"/>
        <w:rPr>
          <w:rFonts w:ascii="黑体" w:eastAsia="黑体" w:hAnsi="黑体" w:hint="eastAsia"/>
          <w:sz w:val="32"/>
          <w:szCs w:val="32"/>
        </w:rPr>
      </w:pPr>
      <w:r w:rsidRPr="00CF2ACB">
        <w:rPr>
          <w:rFonts w:ascii="黑体" w:eastAsia="黑体" w:hAnsi="黑体" w:hint="eastAsia"/>
          <w:sz w:val="32"/>
          <w:szCs w:val="32"/>
        </w:rPr>
        <w:t>五、成果提交要求</w:t>
      </w:r>
    </w:p>
    <w:p w:rsidR="00CD287C" w:rsidRPr="00CF2ACB" w:rsidRDefault="00CD287C" w:rsidP="00CD287C">
      <w:pPr>
        <w:adjustRightInd w:val="0"/>
        <w:snapToGrid w:val="0"/>
        <w:spacing w:line="560" w:lineRule="exact"/>
        <w:ind w:firstLineChars="200" w:firstLine="640"/>
        <w:rPr>
          <w:rFonts w:ascii="仿宋_GB2312" w:eastAsia="仿宋_GB2312" w:hAnsi="仿宋" w:hint="eastAsia"/>
          <w:sz w:val="32"/>
          <w:szCs w:val="32"/>
        </w:rPr>
      </w:pPr>
      <w:r w:rsidRPr="00CF2ACB">
        <w:rPr>
          <w:rFonts w:ascii="仿宋_GB2312" w:eastAsia="仿宋_GB2312" w:hAnsi="仿宋" w:hint="eastAsia"/>
          <w:sz w:val="32"/>
          <w:szCs w:val="32"/>
        </w:rPr>
        <w:t>各市县永久基本农田储备区划定成果材料包括加盖该市县自然资源和规划部门公章的纸质报告和表格一份；电子数据一式两份，包括划定方案、划定情况表、实地外业调查照片（提供的照片要有坐标，每块集中连片的耕地图斑提供3-5张实地照片，</w:t>
      </w:r>
      <w:r w:rsidRPr="00CF2ACB">
        <w:rPr>
          <w:rFonts w:ascii="仿宋_GB2312" w:eastAsia="仿宋_GB2312" w:hAnsi="仿宋" w:hint="eastAsia"/>
          <w:sz w:val="32"/>
          <w:szCs w:val="32"/>
        </w:rPr>
        <w:lastRenderedPageBreak/>
        <w:t>范围较大的可以多提供,实地照片在不失真的前提条件下对其进行压缩）、分布图和数据库。</w:t>
      </w:r>
    </w:p>
    <w:p w:rsidR="00CD287C" w:rsidRPr="00CF2ACB" w:rsidRDefault="00CD287C" w:rsidP="00CD287C">
      <w:pPr>
        <w:adjustRightInd w:val="0"/>
        <w:snapToGrid w:val="0"/>
        <w:spacing w:line="560" w:lineRule="exact"/>
        <w:ind w:firstLineChars="200" w:firstLine="640"/>
        <w:rPr>
          <w:rFonts w:ascii="黑体" w:eastAsia="黑体" w:hAnsi="黑体" w:hint="eastAsia"/>
          <w:sz w:val="32"/>
          <w:szCs w:val="32"/>
        </w:rPr>
      </w:pPr>
      <w:r w:rsidRPr="00CF2ACB">
        <w:rPr>
          <w:rFonts w:ascii="黑体" w:eastAsia="黑体" w:hAnsi="黑体" w:hint="eastAsia"/>
          <w:sz w:val="32"/>
          <w:szCs w:val="32"/>
        </w:rPr>
        <w:t>六、保障措施</w:t>
      </w:r>
    </w:p>
    <w:p w:rsidR="00CD287C" w:rsidRPr="00CF2ACB" w:rsidRDefault="00CD287C" w:rsidP="00CD287C">
      <w:pPr>
        <w:adjustRightInd w:val="0"/>
        <w:snapToGrid w:val="0"/>
        <w:spacing w:line="560" w:lineRule="exact"/>
        <w:ind w:firstLineChars="200" w:firstLine="643"/>
        <w:rPr>
          <w:rFonts w:ascii="仿宋_GB2312" w:eastAsia="仿宋_GB2312" w:hint="eastAsia"/>
          <w:sz w:val="32"/>
          <w:szCs w:val="32"/>
        </w:rPr>
      </w:pPr>
      <w:r w:rsidRPr="00CF2ACB">
        <w:rPr>
          <w:rFonts w:ascii="楷体_GB2312" w:eastAsia="楷体_GB2312" w:hAnsi="仿宋" w:hint="eastAsia"/>
          <w:b/>
          <w:sz w:val="32"/>
          <w:szCs w:val="32"/>
        </w:rPr>
        <w:t>（一）加强领导，强化监督。</w:t>
      </w:r>
      <w:r w:rsidRPr="00CF2ACB">
        <w:rPr>
          <w:rFonts w:ascii="仿宋_GB2312" w:eastAsia="仿宋_GB2312" w:hint="eastAsia"/>
          <w:sz w:val="32"/>
          <w:szCs w:val="32"/>
        </w:rPr>
        <w:t>两厅分别派员组成督导工作组，对各市县永久基本农田储备区划定工作进行指导、监督和检查，及时发现储备区划定工作中存在的问题，对工作不力的市县重点督导，并责令限期整改。两局要在本市县政府的领导下，成立工作专班，落实工作人员和工作责任。按照工作部署和技术规程要求，扎实推进永久基本农田储备区划定工作的开展。</w:t>
      </w:r>
    </w:p>
    <w:p w:rsidR="00CD287C" w:rsidRPr="00CF2ACB" w:rsidRDefault="00CD287C" w:rsidP="00CD287C">
      <w:pPr>
        <w:adjustRightInd w:val="0"/>
        <w:snapToGrid w:val="0"/>
        <w:spacing w:line="560" w:lineRule="exact"/>
        <w:ind w:firstLineChars="200" w:firstLine="643"/>
        <w:rPr>
          <w:rFonts w:ascii="仿宋_GB2312" w:eastAsia="仿宋_GB2312" w:hint="eastAsia"/>
          <w:sz w:val="32"/>
          <w:szCs w:val="32"/>
        </w:rPr>
      </w:pPr>
      <w:r w:rsidRPr="00CF2ACB">
        <w:rPr>
          <w:rFonts w:ascii="楷体_GB2312" w:eastAsia="楷体_GB2312" w:hAnsi="仿宋" w:hint="eastAsia"/>
          <w:b/>
          <w:sz w:val="32"/>
          <w:szCs w:val="32"/>
        </w:rPr>
        <w:t>（二）倒排工期，加快划定。</w:t>
      </w:r>
      <w:r w:rsidRPr="00CF2ACB">
        <w:rPr>
          <w:rFonts w:ascii="仿宋_GB2312" w:eastAsia="仿宋_GB2312" w:hint="eastAsia"/>
          <w:sz w:val="32"/>
          <w:szCs w:val="32"/>
        </w:rPr>
        <w:t>各市县要增强永久基本农田储备区划定工作的责任感和紧迫感，根据本工作方案的时间安排，制定本市县储备区划定工作计划，倒排工期、专项督办，确保储备区划定工作按计划落实。</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附表：1．永久基本农田储备区图斑属性数据表</w:t>
      </w:r>
    </w:p>
    <w:p w:rsidR="00CD287C" w:rsidRPr="00CF2ACB" w:rsidRDefault="00CD287C" w:rsidP="00CD287C">
      <w:pPr>
        <w:adjustRightInd w:val="0"/>
        <w:snapToGrid w:val="0"/>
        <w:spacing w:line="560" w:lineRule="exact"/>
        <w:ind w:firstLineChars="200" w:firstLine="640"/>
        <w:rPr>
          <w:rFonts w:ascii="仿宋_GB2312" w:eastAsia="仿宋_GB2312" w:hint="eastAsia"/>
          <w:sz w:val="32"/>
          <w:szCs w:val="32"/>
        </w:rPr>
      </w:pPr>
      <w:r w:rsidRPr="00CF2ACB">
        <w:rPr>
          <w:rFonts w:ascii="仿宋_GB2312" w:eastAsia="仿宋_GB2312" w:hint="eastAsia"/>
          <w:sz w:val="32"/>
          <w:szCs w:val="32"/>
        </w:rPr>
        <w:t xml:space="preserve">      2．XX市（县）永久基本农田储备区划定情况表</w:t>
      </w:r>
    </w:p>
    <w:p w:rsidR="00CD287C" w:rsidRPr="00CF2ACB" w:rsidRDefault="00CD287C" w:rsidP="00CD287C">
      <w:pPr>
        <w:widowControl/>
        <w:spacing w:line="560" w:lineRule="exact"/>
        <w:rPr>
          <w:rFonts w:ascii="黑体" w:eastAsia="黑体" w:hAnsi="黑体"/>
          <w:sz w:val="32"/>
          <w:szCs w:val="32"/>
        </w:rPr>
      </w:pPr>
      <w:r w:rsidRPr="00CF2ACB">
        <w:rPr>
          <w:rFonts w:ascii="仿宋_GB2312" w:eastAsia="仿宋_GB2312" w:hint="eastAsia"/>
          <w:sz w:val="32"/>
          <w:szCs w:val="32"/>
        </w:rPr>
        <w:br w:type="page"/>
      </w:r>
      <w:r w:rsidRPr="00CF2ACB">
        <w:rPr>
          <w:rFonts w:ascii="黑体" w:eastAsia="黑体" w:hAnsi="黑体"/>
          <w:sz w:val="32"/>
          <w:szCs w:val="32"/>
        </w:rPr>
        <w:lastRenderedPageBreak/>
        <w:t>附表1</w:t>
      </w:r>
    </w:p>
    <w:p w:rsidR="00CD287C" w:rsidRDefault="00CD287C" w:rsidP="00CD287C">
      <w:pPr>
        <w:ind w:firstLine="420"/>
        <w:jc w:val="center"/>
        <w:rPr>
          <w:rFonts w:eastAsia="方正小标宋_GBK"/>
          <w:sz w:val="40"/>
          <w:szCs w:val="40"/>
        </w:rPr>
      </w:pPr>
      <w:r>
        <w:rPr>
          <w:rFonts w:eastAsia="方正小标宋_GBK"/>
          <w:sz w:val="40"/>
          <w:szCs w:val="40"/>
        </w:rPr>
        <w:t>永久基本农田储备区图斑属性数据表</w:t>
      </w:r>
    </w:p>
    <w:p w:rsidR="00CD287C" w:rsidRDefault="00CD287C" w:rsidP="00CD287C">
      <w:pPr>
        <w:ind w:firstLine="420"/>
        <w:jc w:val="center"/>
        <w:rPr>
          <w:rFonts w:eastAsia="方正小标宋_GBK"/>
          <w:sz w:val="30"/>
          <w:szCs w:val="30"/>
        </w:rPr>
      </w:pPr>
      <w:r>
        <w:rPr>
          <w:rFonts w:eastAsia="方正小标宋_GBK"/>
          <w:sz w:val="30"/>
          <w:szCs w:val="30"/>
        </w:rPr>
        <w:t>（属性表名：</w:t>
      </w:r>
      <w:r>
        <w:rPr>
          <w:rFonts w:eastAsia="方正小标宋_GBK"/>
          <w:sz w:val="30"/>
          <w:szCs w:val="30"/>
        </w:rPr>
        <w:t>YJJBNTCBQTB</w:t>
      </w:r>
      <w:r>
        <w:rPr>
          <w:rFonts w:eastAsia="方正小标宋_GBK"/>
          <w:sz w:val="30"/>
          <w:szCs w:val="30"/>
        </w:rPr>
        <w:t>）</w:t>
      </w:r>
    </w:p>
    <w:p w:rsidR="00CD287C" w:rsidRDefault="00CD287C" w:rsidP="00CD287C">
      <w:pPr>
        <w:spacing w:line="240" w:lineRule="exact"/>
        <w:ind w:firstLine="420"/>
        <w:jc w:val="center"/>
        <w:rPr>
          <w:rFonts w:eastAsia="方正小标宋_GBK"/>
          <w:sz w:val="30"/>
          <w:szCs w:val="30"/>
        </w:rPr>
      </w:pPr>
    </w:p>
    <w:tbl>
      <w:tblPr>
        <w:tblW w:w="0" w:type="auto"/>
        <w:jc w:val="center"/>
        <w:tblLayout w:type="fixed"/>
        <w:tblLook w:val="0000"/>
      </w:tblPr>
      <w:tblGrid>
        <w:gridCol w:w="630"/>
        <w:gridCol w:w="1905"/>
        <w:gridCol w:w="1603"/>
        <w:gridCol w:w="1010"/>
        <w:gridCol w:w="684"/>
        <w:gridCol w:w="663"/>
        <w:gridCol w:w="859"/>
        <w:gridCol w:w="959"/>
        <w:gridCol w:w="967"/>
      </w:tblGrid>
      <w:tr w:rsidR="00CD287C" w:rsidTr="00F42F24">
        <w:trPr>
          <w:trHeight w:hRule="exact" w:val="1414"/>
          <w:tblHeader/>
          <w:jc w:val="center"/>
        </w:trPr>
        <w:tc>
          <w:tcPr>
            <w:tcW w:w="63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黑体" w:hint="eastAsia"/>
                <w:kern w:val="0"/>
                <w:sz w:val="24"/>
              </w:rPr>
              <w:t>序号</w:t>
            </w:r>
          </w:p>
        </w:tc>
        <w:tc>
          <w:tcPr>
            <w:tcW w:w="1905" w:type="dxa"/>
            <w:tcBorders>
              <w:top w:val="single" w:sz="4" w:space="0" w:color="auto"/>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黑体" w:hint="eastAsia"/>
                <w:kern w:val="0"/>
                <w:sz w:val="24"/>
              </w:rPr>
              <w:t>字段名称</w:t>
            </w:r>
          </w:p>
        </w:tc>
        <w:tc>
          <w:tcPr>
            <w:tcW w:w="1603" w:type="dxa"/>
            <w:tcBorders>
              <w:top w:val="single" w:sz="4" w:space="0" w:color="auto"/>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黑体" w:hint="eastAsia"/>
                <w:kern w:val="0"/>
                <w:sz w:val="24"/>
              </w:rPr>
              <w:t>字段代码</w:t>
            </w:r>
          </w:p>
        </w:tc>
        <w:tc>
          <w:tcPr>
            <w:tcW w:w="1010" w:type="dxa"/>
            <w:tcBorders>
              <w:top w:val="single" w:sz="4" w:space="0" w:color="auto"/>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黑体" w:hint="eastAsia"/>
                <w:kern w:val="0"/>
                <w:sz w:val="24"/>
              </w:rPr>
              <w:t>字段</w:t>
            </w:r>
          </w:p>
          <w:p w:rsidR="00CD287C" w:rsidRDefault="00CD287C" w:rsidP="00F42F24">
            <w:pPr>
              <w:widowControl/>
              <w:jc w:val="center"/>
              <w:rPr>
                <w:rFonts w:ascii="仿宋_GB2312" w:eastAsia="仿宋_GB2312"/>
                <w:kern w:val="0"/>
                <w:sz w:val="24"/>
              </w:rPr>
            </w:pPr>
            <w:r>
              <w:rPr>
                <w:rFonts w:ascii="仿宋_GB2312" w:eastAsia="仿宋_GB2312" w:hAnsi="黑体" w:hint="eastAsia"/>
                <w:kern w:val="0"/>
                <w:sz w:val="24"/>
              </w:rPr>
              <w:t>类型</w:t>
            </w:r>
          </w:p>
        </w:tc>
        <w:tc>
          <w:tcPr>
            <w:tcW w:w="684" w:type="dxa"/>
            <w:tcBorders>
              <w:top w:val="single" w:sz="4" w:space="0" w:color="auto"/>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黑体" w:hint="eastAsia"/>
                <w:kern w:val="0"/>
                <w:sz w:val="24"/>
              </w:rPr>
              <w:t>字段长度</w:t>
            </w:r>
          </w:p>
        </w:tc>
        <w:tc>
          <w:tcPr>
            <w:tcW w:w="663" w:type="dxa"/>
            <w:tcBorders>
              <w:top w:val="single" w:sz="4" w:space="0" w:color="auto"/>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黑体" w:hint="eastAsia"/>
                <w:kern w:val="0"/>
                <w:sz w:val="24"/>
              </w:rPr>
              <w:t>小数位数</w:t>
            </w:r>
          </w:p>
        </w:tc>
        <w:tc>
          <w:tcPr>
            <w:tcW w:w="859" w:type="dxa"/>
            <w:tcBorders>
              <w:top w:val="single" w:sz="4" w:space="0" w:color="auto"/>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黑体" w:hint="eastAsia"/>
                <w:kern w:val="0"/>
                <w:sz w:val="24"/>
              </w:rPr>
              <w:t>值</w:t>
            </w:r>
          </w:p>
          <w:p w:rsidR="00CD287C" w:rsidRDefault="00CD287C" w:rsidP="00F42F24">
            <w:pPr>
              <w:widowControl/>
              <w:jc w:val="center"/>
              <w:rPr>
                <w:rFonts w:ascii="仿宋_GB2312" w:eastAsia="仿宋_GB2312"/>
                <w:kern w:val="0"/>
                <w:sz w:val="24"/>
              </w:rPr>
            </w:pPr>
            <w:r>
              <w:rPr>
                <w:rFonts w:ascii="仿宋_GB2312" w:eastAsia="仿宋_GB2312" w:hAnsi="黑体" w:hint="eastAsia"/>
                <w:kern w:val="0"/>
                <w:sz w:val="24"/>
              </w:rPr>
              <w:t>域</w:t>
            </w:r>
          </w:p>
        </w:tc>
        <w:tc>
          <w:tcPr>
            <w:tcW w:w="959" w:type="dxa"/>
            <w:tcBorders>
              <w:top w:val="single" w:sz="4" w:space="0" w:color="auto"/>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黑体" w:hint="eastAsia"/>
                <w:kern w:val="0"/>
                <w:sz w:val="24"/>
              </w:rPr>
              <w:t>约束</w:t>
            </w:r>
          </w:p>
          <w:p w:rsidR="00CD287C" w:rsidRDefault="00CD287C" w:rsidP="00F42F24">
            <w:pPr>
              <w:widowControl/>
              <w:jc w:val="center"/>
              <w:rPr>
                <w:rFonts w:ascii="仿宋_GB2312" w:eastAsia="仿宋_GB2312"/>
                <w:kern w:val="0"/>
                <w:sz w:val="24"/>
              </w:rPr>
            </w:pPr>
            <w:r>
              <w:rPr>
                <w:rFonts w:ascii="仿宋_GB2312" w:eastAsia="仿宋_GB2312" w:hAnsi="黑体" w:hint="eastAsia"/>
                <w:kern w:val="0"/>
                <w:sz w:val="24"/>
              </w:rPr>
              <w:t>条件</w:t>
            </w:r>
          </w:p>
        </w:tc>
        <w:tc>
          <w:tcPr>
            <w:tcW w:w="967" w:type="dxa"/>
            <w:tcBorders>
              <w:top w:val="single" w:sz="4" w:space="0" w:color="auto"/>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黑体" w:hint="eastAsia"/>
                <w:kern w:val="0"/>
                <w:sz w:val="24"/>
              </w:rPr>
              <w:t>备注</w:t>
            </w: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标识码</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BSM</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Int</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10</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w:t>
            </w:r>
            <w:r>
              <w:rPr>
                <w:rFonts w:ascii="仿宋_GB2312" w:eastAsia="仿宋_GB2312" w:hint="eastAsia"/>
                <w:kern w:val="0"/>
                <w:sz w:val="24"/>
              </w:rPr>
              <w:t>0</w:t>
            </w: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永久基本农田储备区图斑编号</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YJJBNTCBQTBBH</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Char</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20</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非空</w:t>
            </w: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见表</w:t>
            </w:r>
          </w:p>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注</w:t>
            </w:r>
            <w:r>
              <w:rPr>
                <w:rFonts w:ascii="仿宋_GB2312" w:eastAsia="仿宋_GB2312" w:hint="eastAsia"/>
                <w:kern w:val="0"/>
                <w:sz w:val="24"/>
              </w:rPr>
              <w:t>2</w:t>
            </w: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3</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图斑编号</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TBBH</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Char</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8</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非空</w:t>
            </w: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见表</w:t>
            </w:r>
          </w:p>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注</w:t>
            </w:r>
            <w:r>
              <w:rPr>
                <w:rFonts w:ascii="仿宋_GB2312" w:eastAsia="仿宋_GB2312" w:hint="eastAsia"/>
                <w:kern w:val="0"/>
                <w:sz w:val="24"/>
              </w:rPr>
              <w:t>3</w:t>
            </w: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4</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地类编码</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DLBM</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Char</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4</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非空</w:t>
            </w: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5</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地类名称</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DLMC</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Char</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60</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非空</w:t>
            </w: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6</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权属性质</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QSXZ</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Char</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见表</w:t>
            </w:r>
          </w:p>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注</w:t>
            </w:r>
            <w:r>
              <w:rPr>
                <w:rFonts w:ascii="仿宋_GB2312" w:eastAsia="仿宋_GB2312" w:hint="eastAsia"/>
                <w:kern w:val="0"/>
                <w:sz w:val="24"/>
              </w:rPr>
              <w:t>4</w:t>
            </w: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7</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权属单位代码</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QSDWDM</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Char</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19</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非空</w:t>
            </w: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8</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权属单位名称</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QSDWMC</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Char</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60</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非空</w:t>
            </w: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9</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座落单位代码</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ZLDWDM</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Char</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19</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见表</w:t>
            </w:r>
          </w:p>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注</w:t>
            </w:r>
            <w:r>
              <w:rPr>
                <w:rFonts w:ascii="仿宋_GB2312" w:eastAsia="仿宋_GB2312" w:hint="eastAsia"/>
                <w:kern w:val="0"/>
                <w:sz w:val="24"/>
              </w:rPr>
              <w:t>5</w:t>
            </w: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10</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座落单位名称</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ZLDWMC</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Char</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60</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非空</w:t>
            </w: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11</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耕地类型</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GDLX</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Char</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4</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见表</w:t>
            </w:r>
          </w:p>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注</w:t>
            </w:r>
            <w:r>
              <w:rPr>
                <w:rFonts w:ascii="仿宋_GB2312" w:eastAsia="仿宋_GB2312" w:hint="eastAsia"/>
                <w:kern w:val="0"/>
                <w:sz w:val="24"/>
              </w:rPr>
              <w:t>6</w:t>
            </w: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lastRenderedPageBreak/>
              <w:t>12</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是否为高标准</w:t>
            </w:r>
          </w:p>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农田</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GBZNT</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Char</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见表</w:t>
            </w:r>
          </w:p>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注</w:t>
            </w:r>
            <w:r>
              <w:rPr>
                <w:rFonts w:ascii="仿宋_GB2312" w:eastAsia="仿宋_GB2312" w:hint="eastAsia"/>
                <w:kern w:val="0"/>
                <w:sz w:val="24"/>
              </w:rPr>
              <w:t>7</w:t>
            </w: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13</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储备区分布</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CBQFB</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Char</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见表</w:t>
            </w:r>
          </w:p>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注</w:t>
            </w:r>
            <w:r>
              <w:rPr>
                <w:rFonts w:ascii="仿宋_GB2312" w:eastAsia="仿宋_GB2312" w:hint="eastAsia"/>
                <w:kern w:val="0"/>
                <w:sz w:val="24"/>
              </w:rPr>
              <w:t>8</w:t>
            </w: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14</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质量等级（别）代码</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ZLDJDM</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Char</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见表</w:t>
            </w:r>
          </w:p>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注</w:t>
            </w:r>
            <w:r>
              <w:rPr>
                <w:rFonts w:ascii="仿宋_GB2312" w:eastAsia="仿宋_GB2312" w:hint="eastAsia"/>
                <w:kern w:val="0"/>
                <w:sz w:val="24"/>
              </w:rPr>
              <w:t>9</w:t>
            </w: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15</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坡度级别</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PDJB</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Char</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见表</w:t>
            </w:r>
          </w:p>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注</w:t>
            </w:r>
            <w:r>
              <w:rPr>
                <w:rFonts w:ascii="仿宋_GB2312" w:eastAsia="仿宋_GB2312" w:hint="eastAsia"/>
                <w:kern w:val="0"/>
                <w:sz w:val="24"/>
              </w:rPr>
              <w:t>10</w:t>
            </w: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16</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扣除类型</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KCLX</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Char</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见表</w:t>
            </w:r>
          </w:p>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注</w:t>
            </w:r>
            <w:r>
              <w:rPr>
                <w:rFonts w:ascii="仿宋_GB2312" w:eastAsia="仿宋_GB2312" w:hint="eastAsia"/>
                <w:kern w:val="0"/>
                <w:sz w:val="24"/>
              </w:rPr>
              <w:t>11</w:t>
            </w: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17</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扣除地类编码</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KCDLBM</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Char</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4</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非空</w:t>
            </w: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18</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扣除地类系数</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KCDLXS</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Float</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5</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w:t>
            </w: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w:t>
            </w:r>
            <w:r>
              <w:rPr>
                <w:rFonts w:ascii="仿宋_GB2312" w:eastAsia="仿宋_GB2312" w:hint="eastAsia"/>
                <w:kern w:val="0"/>
                <w:sz w:val="24"/>
              </w:rPr>
              <w:t>0</w:t>
            </w: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19</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线状地物面积</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XZDWMJ</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Float</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15</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w:t>
            </w: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≥0</w:t>
            </w: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见表</w:t>
            </w:r>
          </w:p>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注</w:t>
            </w:r>
            <w:r>
              <w:rPr>
                <w:rFonts w:ascii="仿宋_GB2312" w:eastAsia="仿宋_GB2312" w:hint="eastAsia"/>
                <w:kern w:val="0"/>
                <w:sz w:val="24"/>
              </w:rPr>
              <w:t>12</w:t>
            </w: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20</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零星地物面积</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LXDWMJ</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Float</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15</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w:t>
            </w: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≥0</w:t>
            </w: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21</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扣除地类面积</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KCDLMJ</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Float</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15</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w:t>
            </w: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≥0</w:t>
            </w: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见表</w:t>
            </w:r>
          </w:p>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注</w:t>
            </w:r>
            <w:r>
              <w:rPr>
                <w:rFonts w:ascii="仿宋_GB2312" w:eastAsia="仿宋_GB2312" w:hint="eastAsia"/>
                <w:kern w:val="0"/>
                <w:sz w:val="24"/>
              </w:rPr>
              <w:t>13</w:t>
            </w: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22</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储备区图斑面积</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CBQTBMJ</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Float</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15</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w:t>
            </w: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w:t>
            </w:r>
            <w:r>
              <w:rPr>
                <w:rFonts w:ascii="仿宋_GB2312" w:eastAsia="仿宋_GB2312" w:hint="eastAsia"/>
                <w:kern w:val="0"/>
                <w:sz w:val="24"/>
              </w:rPr>
              <w:t>0</w:t>
            </w: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见表</w:t>
            </w:r>
          </w:p>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注</w:t>
            </w:r>
            <w:r>
              <w:rPr>
                <w:rFonts w:ascii="仿宋_GB2312" w:eastAsia="仿宋_GB2312" w:hint="eastAsia"/>
                <w:kern w:val="0"/>
                <w:sz w:val="24"/>
              </w:rPr>
              <w:t>14</w:t>
            </w: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23</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储备区地类面积</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CBQDLMJ</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Float</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15</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w:t>
            </w: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≥0</w:t>
            </w: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见表</w:t>
            </w:r>
          </w:p>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注</w:t>
            </w:r>
            <w:r>
              <w:rPr>
                <w:rFonts w:ascii="仿宋_GB2312" w:eastAsia="仿宋_GB2312" w:hint="eastAsia"/>
                <w:kern w:val="0"/>
                <w:sz w:val="24"/>
              </w:rPr>
              <w:t>15</w:t>
            </w:r>
          </w:p>
        </w:tc>
      </w:tr>
      <w:tr w:rsidR="00CD287C" w:rsidTr="00F42F24">
        <w:trPr>
          <w:trHeight w:hRule="exact" w:val="851"/>
          <w:jc w:val="center"/>
        </w:trPr>
        <w:tc>
          <w:tcPr>
            <w:tcW w:w="630" w:type="dxa"/>
            <w:tcBorders>
              <w:top w:val="nil"/>
              <w:left w:val="single" w:sz="4" w:space="0" w:color="auto"/>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24</w:t>
            </w:r>
          </w:p>
        </w:tc>
        <w:tc>
          <w:tcPr>
            <w:tcW w:w="1905"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地类备注</w:t>
            </w:r>
          </w:p>
        </w:tc>
        <w:tc>
          <w:tcPr>
            <w:tcW w:w="160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DLBZ</w:t>
            </w:r>
          </w:p>
        </w:tc>
        <w:tc>
          <w:tcPr>
            <w:tcW w:w="1010"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Char</w:t>
            </w:r>
          </w:p>
        </w:tc>
        <w:tc>
          <w:tcPr>
            <w:tcW w:w="684"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int="eastAsia"/>
                <w:kern w:val="0"/>
                <w:sz w:val="24"/>
              </w:rPr>
              <w:t>2</w:t>
            </w:r>
          </w:p>
        </w:tc>
        <w:tc>
          <w:tcPr>
            <w:tcW w:w="663"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8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非空</w:t>
            </w:r>
          </w:p>
        </w:tc>
        <w:tc>
          <w:tcPr>
            <w:tcW w:w="959"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p>
        </w:tc>
        <w:tc>
          <w:tcPr>
            <w:tcW w:w="967" w:type="dxa"/>
            <w:tcBorders>
              <w:top w:val="nil"/>
              <w:left w:val="nil"/>
              <w:bottom w:val="single" w:sz="4" w:space="0" w:color="auto"/>
              <w:right w:val="single" w:sz="4" w:space="0" w:color="auto"/>
            </w:tcBorders>
            <w:vAlign w:val="center"/>
          </w:tcPr>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见表</w:t>
            </w:r>
          </w:p>
          <w:p w:rsidR="00CD287C" w:rsidRDefault="00CD287C" w:rsidP="00F42F24">
            <w:pPr>
              <w:widowControl/>
              <w:jc w:val="center"/>
              <w:rPr>
                <w:rFonts w:ascii="仿宋_GB2312" w:eastAsia="仿宋_GB2312"/>
                <w:kern w:val="0"/>
                <w:sz w:val="24"/>
              </w:rPr>
            </w:pPr>
            <w:r>
              <w:rPr>
                <w:rFonts w:ascii="仿宋_GB2312" w:eastAsia="仿宋_GB2312" w:hAnsi="宋体" w:hint="eastAsia"/>
                <w:kern w:val="0"/>
                <w:sz w:val="24"/>
              </w:rPr>
              <w:t>注</w:t>
            </w:r>
            <w:r>
              <w:rPr>
                <w:rFonts w:ascii="仿宋_GB2312" w:eastAsia="仿宋_GB2312" w:hint="eastAsia"/>
                <w:kern w:val="0"/>
                <w:sz w:val="24"/>
              </w:rPr>
              <w:t>16</w:t>
            </w:r>
          </w:p>
        </w:tc>
      </w:tr>
    </w:tbl>
    <w:p w:rsidR="00CD287C" w:rsidRPr="00CF2ACB" w:rsidRDefault="00CD287C" w:rsidP="00CD287C">
      <w:pPr>
        <w:spacing w:line="460" w:lineRule="exact"/>
        <w:rPr>
          <w:rFonts w:ascii="仿宋_GB2312" w:eastAsia="仿宋_GB2312" w:hint="eastAsia"/>
          <w:sz w:val="28"/>
          <w:szCs w:val="28"/>
        </w:rPr>
      </w:pPr>
    </w:p>
    <w:p w:rsidR="00CD287C" w:rsidRPr="00CF2ACB" w:rsidRDefault="00CD287C" w:rsidP="00CD287C">
      <w:pPr>
        <w:spacing w:line="440" w:lineRule="exact"/>
        <w:jc w:val="left"/>
        <w:rPr>
          <w:rFonts w:ascii="仿宋_GB2312" w:eastAsia="仿宋_GB2312" w:hint="eastAsia"/>
          <w:sz w:val="28"/>
          <w:szCs w:val="28"/>
        </w:rPr>
      </w:pPr>
      <w:r>
        <w:rPr>
          <w:rFonts w:ascii="仿宋_GB2312" w:eastAsia="仿宋_GB2312" w:hint="eastAsia"/>
          <w:sz w:val="28"/>
          <w:szCs w:val="28"/>
        </w:rPr>
        <w:t xml:space="preserve">    </w:t>
      </w:r>
      <w:r w:rsidRPr="00CF2ACB">
        <w:rPr>
          <w:rFonts w:ascii="仿宋_GB2312" w:eastAsia="仿宋_GB2312" w:hint="eastAsia"/>
          <w:sz w:val="28"/>
          <w:szCs w:val="28"/>
        </w:rPr>
        <w:t>注1：序号4-11字段属性值从土地利用数据库中地类图斑层提取；若地类图斑线与永久基本农田储备区界线重合，序号14-21字段属性由计算机根据空间位置关系从土地利用数据库中地类图斑层直接提取；若永久基本农田储备区界线分割地类图斑，被分割的图斑序号14-21字段属性值通过分割处理，按照《土地调查数据库更新技术规范》规定的方法重新计算后生成。</w:t>
      </w:r>
    </w:p>
    <w:p w:rsidR="00CD287C" w:rsidRPr="00CF2ACB" w:rsidRDefault="00CD287C" w:rsidP="00CD287C">
      <w:pPr>
        <w:spacing w:line="440" w:lineRule="exact"/>
        <w:ind w:firstLineChars="185" w:firstLine="518"/>
        <w:jc w:val="left"/>
        <w:rPr>
          <w:rFonts w:ascii="仿宋_GB2312" w:eastAsia="仿宋_GB2312" w:hint="eastAsia"/>
          <w:sz w:val="28"/>
          <w:szCs w:val="28"/>
        </w:rPr>
      </w:pPr>
      <w:r w:rsidRPr="00CF2ACB">
        <w:rPr>
          <w:rFonts w:ascii="仿宋_GB2312" w:eastAsia="仿宋_GB2312" w:hint="eastAsia"/>
          <w:sz w:val="28"/>
          <w:szCs w:val="28"/>
        </w:rPr>
        <w:t>注2：“永久基本农田储备区图斑编号”由“Ｃ＋行政区代码（县级）＋永久基本农田储备区图斑（4位数字顺序码）”组成，以永久基本农田储备区为单位，按从上到下，从左到右顺序编号，下同。</w:t>
      </w:r>
    </w:p>
    <w:p w:rsidR="00CD287C" w:rsidRPr="00CF2ACB" w:rsidRDefault="00CD287C" w:rsidP="00CD287C">
      <w:pPr>
        <w:spacing w:line="440" w:lineRule="exact"/>
        <w:ind w:firstLineChars="195" w:firstLine="546"/>
        <w:jc w:val="left"/>
        <w:rPr>
          <w:rFonts w:ascii="仿宋_GB2312" w:eastAsia="仿宋_GB2312" w:hint="eastAsia"/>
          <w:sz w:val="28"/>
          <w:szCs w:val="28"/>
        </w:rPr>
      </w:pPr>
      <w:r w:rsidRPr="00CF2ACB">
        <w:rPr>
          <w:rFonts w:ascii="仿宋_GB2312" w:eastAsia="仿宋_GB2312" w:hint="eastAsia"/>
          <w:sz w:val="28"/>
          <w:szCs w:val="28"/>
        </w:rPr>
        <w:t>注3：“图斑编号”为土地利用数据库中地类图斑层中的图斑编号，不另行编号。</w:t>
      </w:r>
    </w:p>
    <w:p w:rsidR="00CD287C" w:rsidRPr="00CF2ACB" w:rsidRDefault="00CD287C" w:rsidP="00CD287C">
      <w:pPr>
        <w:spacing w:line="440" w:lineRule="exact"/>
        <w:ind w:firstLineChars="149" w:firstLine="417"/>
        <w:jc w:val="left"/>
        <w:rPr>
          <w:rFonts w:ascii="仿宋_GB2312" w:eastAsia="仿宋_GB2312" w:hint="eastAsia"/>
          <w:sz w:val="28"/>
          <w:szCs w:val="28"/>
        </w:rPr>
      </w:pPr>
      <w:r w:rsidRPr="00CF2ACB">
        <w:rPr>
          <w:rFonts w:ascii="仿宋_GB2312" w:eastAsia="仿宋_GB2312" w:hint="eastAsia"/>
          <w:sz w:val="28"/>
          <w:szCs w:val="28"/>
        </w:rPr>
        <w:t>注4: 当权属性质为国有土地所有权时，权属性质填写“10”；为国有土地使用权时，填写“20”；为集体土地所有权时，填写“30”；为村民小组时，填写“31”；为村集体经济组织时，填写“32”；为乡集体经济组织时，填写“33”；为其它农民集体经济组织时，填写“34”；为集体土地使用权时，填写“40”。</w:t>
      </w:r>
    </w:p>
    <w:p w:rsidR="00CD287C" w:rsidRPr="00CF2ACB" w:rsidRDefault="00CD287C" w:rsidP="00CD287C">
      <w:pPr>
        <w:spacing w:line="440" w:lineRule="exact"/>
        <w:ind w:firstLineChars="149" w:firstLine="417"/>
        <w:jc w:val="left"/>
        <w:rPr>
          <w:rFonts w:ascii="仿宋_GB2312" w:eastAsia="仿宋_GB2312" w:hint="eastAsia"/>
          <w:sz w:val="28"/>
          <w:szCs w:val="28"/>
        </w:rPr>
      </w:pPr>
      <w:r w:rsidRPr="00CF2ACB">
        <w:rPr>
          <w:rFonts w:ascii="仿宋_GB2312" w:eastAsia="仿宋_GB2312" w:hint="eastAsia"/>
          <w:sz w:val="28"/>
          <w:szCs w:val="28"/>
        </w:rPr>
        <w:t>注5：“座落单位代码”是指该永久基本农田储备区图斑实际座落单位的代码，当该永久基本农田储备区图斑为飞入地时，实际座落单位的代码不同于权属单位的代码。</w:t>
      </w:r>
    </w:p>
    <w:p w:rsidR="00CD287C" w:rsidRPr="00CF2ACB" w:rsidRDefault="00CD287C" w:rsidP="00CD287C">
      <w:pPr>
        <w:spacing w:line="440" w:lineRule="exact"/>
        <w:ind w:firstLineChars="250" w:firstLine="700"/>
        <w:jc w:val="left"/>
        <w:rPr>
          <w:rFonts w:ascii="仿宋_GB2312" w:eastAsia="仿宋_GB2312" w:hint="eastAsia"/>
          <w:sz w:val="28"/>
          <w:szCs w:val="28"/>
        </w:rPr>
      </w:pPr>
      <w:r w:rsidRPr="00CF2ACB">
        <w:rPr>
          <w:rFonts w:ascii="仿宋_GB2312" w:eastAsia="仿宋_GB2312" w:hint="eastAsia"/>
          <w:sz w:val="28"/>
          <w:szCs w:val="28"/>
        </w:rPr>
        <w:t>注6：当地类为梯田耕地时，耕地类型填写“TT”，为坡地时，填写“PD”。</w:t>
      </w:r>
    </w:p>
    <w:p w:rsidR="00CD287C" w:rsidRPr="00CF2ACB" w:rsidRDefault="00CD287C" w:rsidP="00CD287C">
      <w:pPr>
        <w:spacing w:line="440" w:lineRule="exact"/>
        <w:ind w:leftChars="-1" w:left="-2" w:firstLineChars="215" w:firstLine="602"/>
        <w:jc w:val="left"/>
        <w:rPr>
          <w:rFonts w:ascii="仿宋_GB2312" w:eastAsia="仿宋_GB2312" w:hint="eastAsia"/>
          <w:sz w:val="28"/>
          <w:szCs w:val="28"/>
        </w:rPr>
      </w:pPr>
      <w:r w:rsidRPr="00CF2ACB">
        <w:rPr>
          <w:rFonts w:ascii="仿宋_GB2312" w:eastAsia="仿宋_GB2312" w:hint="eastAsia"/>
          <w:sz w:val="28"/>
          <w:szCs w:val="28"/>
        </w:rPr>
        <w:t>注7：当耕地范围内开展过高标准农田建设时，填写“1”；没有开展过则填写“0”。</w:t>
      </w:r>
    </w:p>
    <w:p w:rsidR="00CD287C" w:rsidRPr="00CF2ACB" w:rsidRDefault="00CD287C" w:rsidP="00CD287C">
      <w:pPr>
        <w:spacing w:line="440" w:lineRule="exact"/>
        <w:ind w:firstLineChars="200" w:firstLine="560"/>
        <w:jc w:val="left"/>
        <w:rPr>
          <w:rFonts w:ascii="仿宋_GB2312" w:eastAsia="仿宋_GB2312" w:hint="eastAsia"/>
          <w:sz w:val="28"/>
          <w:szCs w:val="28"/>
        </w:rPr>
      </w:pPr>
      <w:r w:rsidRPr="00CF2ACB">
        <w:rPr>
          <w:rFonts w:ascii="仿宋_GB2312" w:eastAsia="仿宋_GB2312" w:hint="eastAsia"/>
          <w:sz w:val="28"/>
          <w:szCs w:val="28"/>
        </w:rPr>
        <w:t>注8：当永久基本农田储备区位于城市周边范围内时，填写“1”；为城市周边范围外时，填写“0”。</w:t>
      </w:r>
    </w:p>
    <w:p w:rsidR="00CD287C" w:rsidRPr="00CF2ACB" w:rsidRDefault="00CD287C" w:rsidP="00CD287C">
      <w:pPr>
        <w:spacing w:line="440" w:lineRule="exact"/>
        <w:ind w:firstLineChars="200" w:firstLine="560"/>
        <w:jc w:val="left"/>
        <w:rPr>
          <w:rFonts w:ascii="仿宋_GB2312" w:eastAsia="仿宋_GB2312" w:hint="eastAsia"/>
          <w:sz w:val="28"/>
          <w:szCs w:val="28"/>
        </w:rPr>
      </w:pPr>
      <w:r w:rsidRPr="00CF2ACB">
        <w:rPr>
          <w:rFonts w:ascii="仿宋_GB2312" w:eastAsia="仿宋_GB2312" w:hint="eastAsia"/>
          <w:sz w:val="28"/>
          <w:szCs w:val="28"/>
        </w:rPr>
        <w:t>注9</w:t>
      </w:r>
      <w:r>
        <w:rPr>
          <w:rFonts w:ascii="仿宋_GB2312" w:eastAsia="仿宋_GB2312" w:hint="eastAsia"/>
          <w:sz w:val="28"/>
          <w:szCs w:val="28"/>
        </w:rPr>
        <w:t>：</w:t>
      </w:r>
      <w:r w:rsidRPr="00CF2ACB">
        <w:rPr>
          <w:rFonts w:ascii="仿宋_GB2312" w:eastAsia="仿宋_GB2312" w:hint="eastAsia"/>
          <w:sz w:val="28"/>
          <w:szCs w:val="28"/>
        </w:rPr>
        <w:t>当质量等级（等别）为一等时，质量等级（等别）代码填写“01”；为二等时，填写“02”；为三等时，填写“03”；为四等时，填写“04”；为五等时，填写“05”；为六等时，填写“06”；为七等时，填写“07”；</w:t>
      </w:r>
      <w:r w:rsidRPr="00CF2ACB">
        <w:rPr>
          <w:rFonts w:ascii="仿宋_GB2312" w:eastAsia="仿宋_GB2312" w:hint="eastAsia"/>
          <w:sz w:val="28"/>
          <w:szCs w:val="28"/>
        </w:rPr>
        <w:lastRenderedPageBreak/>
        <w:t>为八等时，填写“08”；为九等时，填写“09”；为十等时，填写“10”；为十一等时，填写“11”；为十二等时，填写“12”；为十三等时，填写“13”；为十四等时，填写“14”。</w:t>
      </w:r>
    </w:p>
    <w:p w:rsidR="00CD287C" w:rsidRPr="00CF2ACB" w:rsidRDefault="00CD287C" w:rsidP="00CD287C">
      <w:pPr>
        <w:spacing w:line="440" w:lineRule="exact"/>
        <w:ind w:firstLineChars="200" w:firstLine="560"/>
        <w:jc w:val="left"/>
        <w:rPr>
          <w:rFonts w:ascii="仿宋_GB2312" w:eastAsia="仿宋_GB2312" w:hint="eastAsia"/>
          <w:sz w:val="28"/>
          <w:szCs w:val="28"/>
        </w:rPr>
      </w:pPr>
      <w:r w:rsidRPr="00CF2ACB">
        <w:rPr>
          <w:rFonts w:ascii="仿宋_GB2312" w:eastAsia="仿宋_GB2312" w:hint="eastAsia"/>
          <w:sz w:val="28"/>
          <w:szCs w:val="28"/>
        </w:rPr>
        <w:t>注10：当坡度级别为≤2°时，坡度级别填写“1”；为（2°～6°]时，填写“2”；为（6°～15°]时，填写“3”；（15°～25°]时，填写“4”；为≥25°时，填写“5”。</w:t>
      </w:r>
    </w:p>
    <w:p w:rsidR="00CD287C" w:rsidRPr="00CF2ACB" w:rsidRDefault="00CD287C" w:rsidP="00CD287C">
      <w:pPr>
        <w:spacing w:line="440" w:lineRule="exact"/>
        <w:ind w:firstLineChars="200" w:firstLine="560"/>
        <w:jc w:val="left"/>
        <w:rPr>
          <w:rFonts w:ascii="仿宋_GB2312" w:eastAsia="仿宋_GB2312" w:hint="eastAsia"/>
          <w:sz w:val="28"/>
          <w:szCs w:val="28"/>
        </w:rPr>
      </w:pPr>
      <w:r w:rsidRPr="00CF2ACB">
        <w:rPr>
          <w:rFonts w:ascii="仿宋_GB2312" w:eastAsia="仿宋_GB2312" w:hint="eastAsia"/>
          <w:sz w:val="28"/>
          <w:szCs w:val="28"/>
        </w:rPr>
        <w:t>注11：“扣除类型”指按田坎系数（TK）、按比例扣除的散列式其他非耕地系数（FG）或耕地系数（GD）。</w:t>
      </w:r>
    </w:p>
    <w:p w:rsidR="00CD287C" w:rsidRPr="00CF2ACB" w:rsidRDefault="00CD287C" w:rsidP="00CD287C">
      <w:pPr>
        <w:spacing w:line="440" w:lineRule="exact"/>
        <w:ind w:firstLineChars="200" w:firstLine="560"/>
        <w:jc w:val="left"/>
        <w:rPr>
          <w:rFonts w:ascii="仿宋_GB2312" w:eastAsia="仿宋_GB2312" w:hint="eastAsia"/>
          <w:sz w:val="28"/>
          <w:szCs w:val="28"/>
        </w:rPr>
      </w:pPr>
      <w:r w:rsidRPr="00CF2ACB">
        <w:rPr>
          <w:rFonts w:ascii="仿宋_GB2312" w:eastAsia="仿宋_GB2312" w:hint="eastAsia"/>
          <w:sz w:val="28"/>
          <w:szCs w:val="28"/>
        </w:rPr>
        <w:t>注12：“线状地物面积”指该永久基本农田储备区图斑内所有线状地物的面积总和。</w:t>
      </w:r>
    </w:p>
    <w:p w:rsidR="00CD287C" w:rsidRPr="00CF2ACB" w:rsidRDefault="00CD287C" w:rsidP="00CD287C">
      <w:pPr>
        <w:spacing w:line="440" w:lineRule="exact"/>
        <w:ind w:firstLineChars="200" w:firstLine="560"/>
        <w:jc w:val="left"/>
        <w:rPr>
          <w:rFonts w:ascii="仿宋_GB2312" w:eastAsia="仿宋_GB2312" w:hint="eastAsia"/>
          <w:sz w:val="28"/>
          <w:szCs w:val="28"/>
        </w:rPr>
      </w:pPr>
      <w:r w:rsidRPr="00CF2ACB">
        <w:rPr>
          <w:rFonts w:ascii="仿宋_GB2312" w:eastAsia="仿宋_GB2312" w:hint="eastAsia"/>
          <w:sz w:val="28"/>
          <w:szCs w:val="28"/>
        </w:rPr>
        <w:t>注13：“扣除地类面积”：当扣除类型为“TK”时，扣除地类面积表示扣除的田坎面积；当扣除类型不为“TK”时，扣除地类面积表示按比例扣除的散列式其他地类面积。扣除地类面积=（永久基本农田储备区图斑面积-线状地物面积-零星地物面积）*扣除系数。</w:t>
      </w:r>
    </w:p>
    <w:p w:rsidR="00CD287C" w:rsidRPr="00CF2ACB" w:rsidRDefault="00CD287C" w:rsidP="00CD287C">
      <w:pPr>
        <w:spacing w:line="440" w:lineRule="exact"/>
        <w:ind w:firstLineChars="200" w:firstLine="560"/>
        <w:jc w:val="left"/>
        <w:rPr>
          <w:rFonts w:ascii="仿宋_GB2312" w:eastAsia="仿宋_GB2312" w:hint="eastAsia"/>
          <w:sz w:val="28"/>
          <w:szCs w:val="28"/>
        </w:rPr>
      </w:pPr>
      <w:r w:rsidRPr="00CF2ACB">
        <w:rPr>
          <w:rFonts w:ascii="仿宋_GB2312" w:eastAsia="仿宋_GB2312" w:hint="eastAsia"/>
          <w:sz w:val="28"/>
          <w:szCs w:val="28"/>
        </w:rPr>
        <w:t>注14：“储备区图斑面积”指用经过核定的储备区图斑多边形边界内部所有地类的面积（如永久基本农田储备区图斑含岛、孔，则扣除岛、孔的面积）。</w:t>
      </w:r>
    </w:p>
    <w:p w:rsidR="00CD287C" w:rsidRPr="00CF2ACB" w:rsidRDefault="00CD287C" w:rsidP="00CD287C">
      <w:pPr>
        <w:spacing w:line="440" w:lineRule="exact"/>
        <w:ind w:firstLineChars="200" w:firstLine="560"/>
        <w:jc w:val="left"/>
        <w:rPr>
          <w:rFonts w:ascii="仿宋_GB2312" w:eastAsia="仿宋_GB2312" w:hint="eastAsia"/>
          <w:sz w:val="28"/>
          <w:szCs w:val="28"/>
        </w:rPr>
      </w:pPr>
      <w:r w:rsidRPr="00CF2ACB">
        <w:rPr>
          <w:rFonts w:ascii="仿宋_GB2312" w:eastAsia="仿宋_GB2312" w:hint="eastAsia"/>
          <w:sz w:val="28"/>
          <w:szCs w:val="28"/>
        </w:rPr>
        <w:t>注15：储备区地类面积=储备区图斑面积-扣除地类面积-线状地物面积-零星地物面积。</w:t>
      </w:r>
    </w:p>
    <w:p w:rsidR="00CD287C" w:rsidRPr="00CF2ACB" w:rsidRDefault="00CD287C" w:rsidP="00CD287C">
      <w:pPr>
        <w:spacing w:line="440" w:lineRule="exact"/>
        <w:ind w:firstLineChars="200" w:firstLine="560"/>
        <w:jc w:val="left"/>
        <w:rPr>
          <w:rFonts w:ascii="仿宋_GB2312" w:eastAsia="仿宋_GB2312" w:hint="eastAsia"/>
          <w:sz w:val="28"/>
          <w:szCs w:val="28"/>
        </w:rPr>
      </w:pPr>
      <w:r w:rsidRPr="00CF2ACB">
        <w:rPr>
          <w:rFonts w:ascii="仿宋_GB2312" w:eastAsia="仿宋_GB2312" w:hint="eastAsia"/>
          <w:sz w:val="28"/>
          <w:szCs w:val="28"/>
        </w:rPr>
        <w:t>注16：从土地利用数据库中地类图斑层“地类备注”字段提取属性值。</w:t>
      </w:r>
    </w:p>
    <w:p w:rsidR="00CD287C" w:rsidRDefault="00CD287C" w:rsidP="00CD287C">
      <w:pPr>
        <w:spacing w:line="500" w:lineRule="exact"/>
        <w:ind w:firstLineChars="200" w:firstLine="600"/>
        <w:jc w:val="left"/>
        <w:rPr>
          <w:rFonts w:eastAsia="黑体"/>
          <w:sz w:val="30"/>
          <w:szCs w:val="30"/>
        </w:rPr>
        <w:sectPr w:rsidR="00CD287C" w:rsidSect="00876326">
          <w:pgSz w:w="11906" w:h="16838" w:code="9"/>
          <w:pgMar w:top="2098" w:right="1474" w:bottom="1843" w:left="1588" w:header="851" w:footer="1513" w:gutter="0"/>
          <w:pgNumType w:fmt="numberInDash"/>
          <w:cols w:space="720"/>
          <w:titlePg/>
          <w:docGrid w:type="lines" w:linePitch="312"/>
        </w:sectPr>
      </w:pPr>
    </w:p>
    <w:p w:rsidR="00CD287C" w:rsidRPr="00CF2ACB" w:rsidRDefault="00CD287C" w:rsidP="00CD287C">
      <w:pPr>
        <w:adjustRightInd w:val="0"/>
        <w:snapToGrid w:val="0"/>
        <w:rPr>
          <w:rFonts w:ascii="黑体" w:eastAsia="黑体" w:hAnsi="黑体"/>
          <w:sz w:val="32"/>
          <w:szCs w:val="32"/>
        </w:rPr>
      </w:pPr>
      <w:r w:rsidRPr="00CF2ACB">
        <w:rPr>
          <w:rFonts w:ascii="黑体" w:eastAsia="黑体" w:hAnsi="黑体"/>
          <w:sz w:val="32"/>
          <w:szCs w:val="32"/>
        </w:rPr>
        <w:lastRenderedPageBreak/>
        <w:t>附表2</w:t>
      </w:r>
    </w:p>
    <w:p w:rsidR="00CD287C" w:rsidRDefault="00CD287C" w:rsidP="00CD287C">
      <w:pPr>
        <w:adjustRightInd w:val="0"/>
        <w:snapToGrid w:val="0"/>
        <w:jc w:val="center"/>
        <w:rPr>
          <w:rFonts w:eastAsia="方正小标宋_GBK"/>
          <w:sz w:val="40"/>
          <w:szCs w:val="40"/>
        </w:rPr>
      </w:pPr>
      <w:r>
        <w:rPr>
          <w:rFonts w:eastAsia="方正小标宋_GBK"/>
          <w:sz w:val="40"/>
          <w:szCs w:val="40"/>
        </w:rPr>
        <w:t>XX</w:t>
      </w:r>
      <w:r>
        <w:rPr>
          <w:rFonts w:eastAsia="方正小标宋_GBK" w:hint="eastAsia"/>
          <w:sz w:val="40"/>
          <w:szCs w:val="40"/>
        </w:rPr>
        <w:t>市（</w:t>
      </w:r>
      <w:r>
        <w:rPr>
          <w:rFonts w:eastAsia="方正小标宋_GBK"/>
          <w:sz w:val="40"/>
          <w:szCs w:val="40"/>
        </w:rPr>
        <w:t>县</w:t>
      </w:r>
      <w:r>
        <w:rPr>
          <w:rFonts w:eastAsia="方正小标宋_GBK" w:hint="eastAsia"/>
          <w:sz w:val="40"/>
          <w:szCs w:val="40"/>
        </w:rPr>
        <w:t>）</w:t>
      </w:r>
      <w:r>
        <w:rPr>
          <w:rFonts w:eastAsia="方正小标宋_GBK"/>
          <w:sz w:val="40"/>
          <w:szCs w:val="40"/>
        </w:rPr>
        <w:t>永久基本农田储备区划定情况表</w:t>
      </w:r>
    </w:p>
    <w:p w:rsidR="00CD287C" w:rsidRDefault="00CD287C" w:rsidP="00CD287C">
      <w:pPr>
        <w:adjustRightInd w:val="0"/>
        <w:snapToGrid w:val="0"/>
        <w:spacing w:line="240" w:lineRule="exact"/>
        <w:jc w:val="center"/>
        <w:rPr>
          <w:rFonts w:eastAsia="方正小标宋_GBK"/>
          <w:sz w:val="40"/>
          <w:szCs w:val="40"/>
        </w:rPr>
      </w:pPr>
    </w:p>
    <w:p w:rsidR="00CD287C" w:rsidRDefault="00CD287C" w:rsidP="00CD287C">
      <w:pPr>
        <w:jc w:val="right"/>
        <w:rPr>
          <w:rFonts w:eastAsia="仿宋_GB2312"/>
          <w:sz w:val="24"/>
        </w:rPr>
      </w:pPr>
      <w:r>
        <w:rPr>
          <w:rFonts w:eastAsia="仿宋_GB2312"/>
          <w:sz w:val="24"/>
        </w:rPr>
        <w:t>单位：公顷（</w:t>
      </w:r>
      <w:r>
        <w:rPr>
          <w:rFonts w:eastAsia="仿宋_GB2312"/>
          <w:sz w:val="24"/>
        </w:rPr>
        <w:t>0.0000</w:t>
      </w:r>
      <w:r>
        <w:rPr>
          <w:rFonts w:eastAsia="仿宋_GB2312"/>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
        <w:gridCol w:w="421"/>
        <w:gridCol w:w="423"/>
        <w:gridCol w:w="422"/>
        <w:gridCol w:w="728"/>
        <w:gridCol w:w="432"/>
        <w:gridCol w:w="422"/>
        <w:gridCol w:w="422"/>
        <w:gridCol w:w="422"/>
        <w:gridCol w:w="476"/>
        <w:gridCol w:w="475"/>
        <w:gridCol w:w="475"/>
        <w:gridCol w:w="580"/>
        <w:gridCol w:w="580"/>
        <w:gridCol w:w="581"/>
        <w:gridCol w:w="462"/>
        <w:gridCol w:w="710"/>
        <w:gridCol w:w="464"/>
        <w:gridCol w:w="475"/>
        <w:gridCol w:w="475"/>
        <w:gridCol w:w="475"/>
        <w:gridCol w:w="477"/>
        <w:gridCol w:w="475"/>
        <w:gridCol w:w="475"/>
        <w:gridCol w:w="580"/>
        <w:gridCol w:w="580"/>
        <w:gridCol w:w="581"/>
        <w:gridCol w:w="475"/>
      </w:tblGrid>
      <w:tr w:rsidR="00CD287C" w:rsidTr="00F42F24">
        <w:trPr>
          <w:trHeight w:val="306"/>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序号</w:t>
            </w:r>
          </w:p>
        </w:tc>
        <w:tc>
          <w:tcPr>
            <w:tcW w:w="421" w:type="dxa"/>
            <w:vMerge w:val="restart"/>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行政区</w:t>
            </w: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行政区代码</w:t>
            </w:r>
          </w:p>
        </w:tc>
        <w:tc>
          <w:tcPr>
            <w:tcW w:w="6015" w:type="dxa"/>
            <w:gridSpan w:val="12"/>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p>
        </w:tc>
        <w:tc>
          <w:tcPr>
            <w:tcW w:w="6229" w:type="dxa"/>
            <w:gridSpan w:val="12"/>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其中城市周边范围内</w:t>
            </w:r>
          </w:p>
        </w:tc>
        <w:tc>
          <w:tcPr>
            <w:tcW w:w="475" w:type="dxa"/>
            <w:vMerge w:val="restart"/>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备注</w:t>
            </w:r>
          </w:p>
        </w:tc>
      </w:tr>
      <w:tr w:rsidR="00CD287C" w:rsidTr="00F42F24">
        <w:trPr>
          <w:trHeight w:val="478"/>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p>
        </w:tc>
        <w:tc>
          <w:tcPr>
            <w:tcW w:w="422" w:type="dxa"/>
            <w:vMerge w:val="restart"/>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合计</w:t>
            </w:r>
          </w:p>
        </w:tc>
        <w:tc>
          <w:tcPr>
            <w:tcW w:w="728" w:type="dxa"/>
            <w:vMerge w:val="restart"/>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其中：高于本地区平</w:t>
            </w:r>
          </w:p>
          <w:p w:rsidR="00CD287C" w:rsidRDefault="00CD287C" w:rsidP="00F42F24">
            <w:pPr>
              <w:adjustRightInd w:val="0"/>
              <w:snapToGrid w:val="0"/>
              <w:jc w:val="center"/>
              <w:rPr>
                <w:rFonts w:eastAsia="仿宋_GB2312"/>
                <w:szCs w:val="21"/>
              </w:rPr>
            </w:pPr>
            <w:r>
              <w:rPr>
                <w:rFonts w:eastAsia="仿宋_GB2312"/>
                <w:szCs w:val="21"/>
              </w:rPr>
              <w:t>均质量面积</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其中：高标准农田面积</w:t>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地类情况</w:t>
            </w:r>
          </w:p>
        </w:tc>
        <w:tc>
          <w:tcPr>
            <w:tcW w:w="2691" w:type="dxa"/>
            <w:gridSpan w:val="5"/>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坡度情况</w:t>
            </w:r>
          </w:p>
        </w:tc>
        <w:tc>
          <w:tcPr>
            <w:tcW w:w="462" w:type="dxa"/>
            <w:vMerge w:val="restart"/>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其中：高于本地区平</w:t>
            </w:r>
          </w:p>
          <w:p w:rsidR="00CD287C" w:rsidRDefault="00CD287C" w:rsidP="00F42F24">
            <w:pPr>
              <w:adjustRightInd w:val="0"/>
              <w:snapToGrid w:val="0"/>
              <w:jc w:val="center"/>
              <w:rPr>
                <w:rFonts w:eastAsia="仿宋_GB2312"/>
                <w:szCs w:val="21"/>
              </w:rPr>
            </w:pPr>
            <w:r>
              <w:rPr>
                <w:rFonts w:eastAsia="仿宋_GB2312"/>
                <w:szCs w:val="21"/>
              </w:rPr>
              <w:t>均质量面积</w:t>
            </w:r>
          </w:p>
        </w:tc>
        <w:tc>
          <w:tcPr>
            <w:tcW w:w="464" w:type="dxa"/>
            <w:vMerge w:val="restart"/>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其中：高标准农田面积</w:t>
            </w:r>
          </w:p>
        </w:tc>
        <w:tc>
          <w:tcPr>
            <w:tcW w:w="1902" w:type="dxa"/>
            <w:gridSpan w:val="4"/>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地类情况</w:t>
            </w:r>
          </w:p>
        </w:tc>
        <w:tc>
          <w:tcPr>
            <w:tcW w:w="2691" w:type="dxa"/>
            <w:gridSpan w:val="5"/>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坡度情况</w:t>
            </w:r>
          </w:p>
        </w:tc>
        <w:tc>
          <w:tcPr>
            <w:tcW w:w="475" w:type="dxa"/>
            <w:vMerge/>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r>
      <w:tr w:rsidR="00CD287C" w:rsidTr="00F42F24">
        <w:trPr>
          <w:trHeight w:val="1504"/>
          <w:jc w:val="center"/>
        </w:trPr>
        <w:tc>
          <w:tcPr>
            <w:tcW w:w="421" w:type="dxa"/>
            <w:vMerge/>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p>
        </w:tc>
        <w:tc>
          <w:tcPr>
            <w:tcW w:w="422" w:type="dxa"/>
            <w:vMerge/>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小计</w:t>
            </w: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水田</w:t>
            </w: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水浇地</w:t>
            </w:r>
          </w:p>
        </w:tc>
        <w:tc>
          <w:tcPr>
            <w:tcW w:w="476"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旱地</w:t>
            </w: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小计</w:t>
            </w: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≤2</w:t>
            </w:r>
            <w:r>
              <w:rPr>
                <w:rFonts w:eastAsia="仿宋_GB2312"/>
                <w:szCs w:val="21"/>
              </w:rPr>
              <w:t>度</w:t>
            </w:r>
          </w:p>
          <w:p w:rsidR="00CD287C" w:rsidRDefault="00CD287C" w:rsidP="00F42F24">
            <w:pPr>
              <w:adjustRightInd w:val="0"/>
              <w:snapToGrid w:val="0"/>
              <w:jc w:val="center"/>
              <w:rPr>
                <w:rFonts w:eastAsia="仿宋_GB2312"/>
                <w:szCs w:val="21"/>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3</w:t>
            </w:r>
            <w:r>
              <w:rPr>
                <w:rFonts w:eastAsia="仿宋_GB2312"/>
                <w:szCs w:val="21"/>
              </w:rPr>
              <w:t>度～</w:t>
            </w:r>
            <w:r>
              <w:rPr>
                <w:rFonts w:eastAsia="仿宋_GB2312"/>
                <w:szCs w:val="21"/>
              </w:rPr>
              <w:t>6</w:t>
            </w:r>
            <w:r>
              <w:rPr>
                <w:rFonts w:eastAsia="仿宋_GB2312"/>
                <w:szCs w:val="21"/>
              </w:rPr>
              <w:t>度</w:t>
            </w:r>
          </w:p>
          <w:p w:rsidR="00CD287C" w:rsidRDefault="00CD287C" w:rsidP="00F42F24">
            <w:pPr>
              <w:adjustRightInd w:val="0"/>
              <w:snapToGrid w:val="0"/>
              <w:jc w:val="center"/>
              <w:rPr>
                <w:rFonts w:eastAsia="仿宋_GB2312"/>
                <w:szCs w:val="21"/>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7</w:t>
            </w:r>
            <w:r>
              <w:rPr>
                <w:rFonts w:eastAsia="仿宋_GB2312"/>
                <w:szCs w:val="21"/>
              </w:rPr>
              <w:t>度～</w:t>
            </w:r>
            <w:r>
              <w:rPr>
                <w:rFonts w:eastAsia="仿宋_GB2312"/>
                <w:szCs w:val="21"/>
              </w:rPr>
              <w:t>15</w:t>
            </w:r>
            <w:r>
              <w:rPr>
                <w:rFonts w:eastAsia="仿宋_GB2312"/>
                <w:szCs w:val="21"/>
              </w:rPr>
              <w:t>度</w:t>
            </w:r>
          </w:p>
          <w:p w:rsidR="00CD287C" w:rsidRDefault="00CD287C" w:rsidP="00F42F24">
            <w:pPr>
              <w:adjustRightInd w:val="0"/>
              <w:snapToGrid w:val="0"/>
              <w:jc w:val="center"/>
              <w:rPr>
                <w:rFonts w:eastAsia="仿宋_GB2312"/>
                <w:szCs w:val="21"/>
              </w:rPr>
            </w:pPr>
          </w:p>
        </w:tc>
        <w:tc>
          <w:tcPr>
            <w:tcW w:w="58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16</w:t>
            </w:r>
            <w:r>
              <w:rPr>
                <w:rFonts w:eastAsia="仿宋_GB2312"/>
                <w:szCs w:val="21"/>
              </w:rPr>
              <w:t>度～</w:t>
            </w:r>
            <w:r>
              <w:rPr>
                <w:rFonts w:eastAsia="仿宋_GB2312"/>
                <w:szCs w:val="21"/>
              </w:rPr>
              <w:t>25</w:t>
            </w:r>
            <w:r>
              <w:rPr>
                <w:rFonts w:eastAsia="仿宋_GB2312"/>
                <w:szCs w:val="21"/>
              </w:rPr>
              <w:t>度</w:t>
            </w:r>
          </w:p>
          <w:p w:rsidR="00CD287C" w:rsidRDefault="00CD287C" w:rsidP="00F42F24">
            <w:pPr>
              <w:adjustRightInd w:val="0"/>
              <w:snapToGrid w:val="0"/>
              <w:jc w:val="center"/>
              <w:rPr>
                <w:rFonts w:eastAsia="仿宋_GB2312"/>
                <w:szCs w:val="21"/>
              </w:rPr>
            </w:pPr>
          </w:p>
        </w:tc>
        <w:tc>
          <w:tcPr>
            <w:tcW w:w="462" w:type="dxa"/>
            <w:vMerge/>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p>
        </w:tc>
        <w:tc>
          <w:tcPr>
            <w:tcW w:w="464" w:type="dxa"/>
            <w:vMerge/>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小计</w:t>
            </w: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水田</w:t>
            </w: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水浇地</w:t>
            </w:r>
          </w:p>
        </w:tc>
        <w:tc>
          <w:tcPr>
            <w:tcW w:w="477"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旱地</w:t>
            </w: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小计</w:t>
            </w: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≤2</w:t>
            </w:r>
            <w:r>
              <w:rPr>
                <w:rFonts w:eastAsia="仿宋_GB2312"/>
                <w:szCs w:val="21"/>
              </w:rPr>
              <w:t>度</w:t>
            </w:r>
          </w:p>
          <w:p w:rsidR="00CD287C" w:rsidRDefault="00CD287C" w:rsidP="00F42F24">
            <w:pPr>
              <w:adjustRightInd w:val="0"/>
              <w:snapToGrid w:val="0"/>
              <w:jc w:val="center"/>
              <w:rPr>
                <w:rFonts w:eastAsia="仿宋_GB2312"/>
                <w:szCs w:val="21"/>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hint="eastAsia"/>
                <w:szCs w:val="21"/>
              </w:rPr>
              <w:t>2</w:t>
            </w:r>
            <w:r>
              <w:rPr>
                <w:rFonts w:eastAsia="仿宋_GB2312"/>
                <w:szCs w:val="21"/>
              </w:rPr>
              <w:t>度～</w:t>
            </w:r>
            <w:r>
              <w:rPr>
                <w:rFonts w:eastAsia="仿宋_GB2312"/>
                <w:szCs w:val="21"/>
              </w:rPr>
              <w:t>6</w:t>
            </w:r>
            <w:r>
              <w:rPr>
                <w:rFonts w:eastAsia="仿宋_GB2312"/>
                <w:szCs w:val="21"/>
              </w:rPr>
              <w:t>度</w:t>
            </w:r>
          </w:p>
          <w:p w:rsidR="00CD287C" w:rsidRDefault="00CD287C" w:rsidP="00F42F24">
            <w:pPr>
              <w:adjustRightInd w:val="0"/>
              <w:snapToGrid w:val="0"/>
              <w:jc w:val="center"/>
              <w:rPr>
                <w:rFonts w:eastAsia="仿宋_GB2312"/>
                <w:szCs w:val="21"/>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hint="eastAsia"/>
                <w:szCs w:val="21"/>
              </w:rPr>
              <w:t>6</w:t>
            </w:r>
            <w:r>
              <w:rPr>
                <w:rFonts w:eastAsia="仿宋_GB2312"/>
                <w:szCs w:val="21"/>
              </w:rPr>
              <w:t>度～</w:t>
            </w:r>
            <w:r>
              <w:rPr>
                <w:rFonts w:eastAsia="仿宋_GB2312"/>
                <w:szCs w:val="21"/>
              </w:rPr>
              <w:t>15</w:t>
            </w:r>
            <w:r>
              <w:rPr>
                <w:rFonts w:eastAsia="仿宋_GB2312"/>
                <w:szCs w:val="21"/>
              </w:rPr>
              <w:t>度</w:t>
            </w:r>
          </w:p>
          <w:p w:rsidR="00CD287C" w:rsidRDefault="00CD287C" w:rsidP="00F42F24">
            <w:pPr>
              <w:adjustRightInd w:val="0"/>
              <w:snapToGrid w:val="0"/>
              <w:jc w:val="center"/>
              <w:rPr>
                <w:rFonts w:eastAsia="仿宋_GB2312"/>
                <w:szCs w:val="21"/>
              </w:rPr>
            </w:pPr>
          </w:p>
        </w:tc>
        <w:tc>
          <w:tcPr>
            <w:tcW w:w="58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Cs w:val="21"/>
              </w:rPr>
            </w:pPr>
            <w:r>
              <w:rPr>
                <w:rFonts w:eastAsia="仿宋_GB2312"/>
                <w:szCs w:val="21"/>
              </w:rPr>
              <w:t>1</w:t>
            </w:r>
            <w:r>
              <w:rPr>
                <w:rFonts w:eastAsia="仿宋_GB2312" w:hint="eastAsia"/>
                <w:szCs w:val="21"/>
              </w:rPr>
              <w:t>5</w:t>
            </w:r>
            <w:r>
              <w:rPr>
                <w:rFonts w:eastAsia="仿宋_GB2312"/>
                <w:szCs w:val="21"/>
              </w:rPr>
              <w:t>度～</w:t>
            </w:r>
            <w:r>
              <w:rPr>
                <w:rFonts w:eastAsia="仿宋_GB2312"/>
                <w:szCs w:val="21"/>
              </w:rPr>
              <w:t>25</w:t>
            </w:r>
            <w:r>
              <w:rPr>
                <w:rFonts w:eastAsia="仿宋_GB2312"/>
                <w:szCs w:val="21"/>
              </w:rPr>
              <w:t>度</w:t>
            </w:r>
          </w:p>
          <w:p w:rsidR="00CD287C" w:rsidRDefault="00CD287C" w:rsidP="00F42F24">
            <w:pPr>
              <w:adjustRightInd w:val="0"/>
              <w:snapToGrid w:val="0"/>
              <w:jc w:val="center"/>
              <w:rPr>
                <w:rFonts w:eastAsia="仿宋_GB2312"/>
                <w:szCs w:val="21"/>
              </w:rPr>
            </w:pPr>
          </w:p>
        </w:tc>
        <w:tc>
          <w:tcPr>
            <w:tcW w:w="475" w:type="dxa"/>
            <w:vMerge/>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r>
      <w:tr w:rsidR="00CD287C" w:rsidTr="00F42F24">
        <w:trPr>
          <w:trHeight w:val="612"/>
          <w:jc w:val="center"/>
        </w:trPr>
        <w:tc>
          <w:tcPr>
            <w:tcW w:w="42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1</w:t>
            </w:r>
          </w:p>
        </w:tc>
        <w:tc>
          <w:tcPr>
            <w:tcW w:w="42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2</w:t>
            </w:r>
          </w:p>
        </w:tc>
        <w:tc>
          <w:tcPr>
            <w:tcW w:w="423"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3</w:t>
            </w: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4</w:t>
            </w:r>
          </w:p>
        </w:tc>
        <w:tc>
          <w:tcPr>
            <w:tcW w:w="728"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5</w:t>
            </w:r>
          </w:p>
        </w:tc>
        <w:tc>
          <w:tcPr>
            <w:tcW w:w="43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6</w:t>
            </w: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7</w:t>
            </w: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8</w:t>
            </w: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9</w:t>
            </w:r>
          </w:p>
        </w:tc>
        <w:tc>
          <w:tcPr>
            <w:tcW w:w="476"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10</w:t>
            </w: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11</w:t>
            </w: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12</w:t>
            </w: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13</w:t>
            </w: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14</w:t>
            </w:r>
          </w:p>
        </w:tc>
        <w:tc>
          <w:tcPr>
            <w:tcW w:w="58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15</w:t>
            </w:r>
          </w:p>
        </w:tc>
        <w:tc>
          <w:tcPr>
            <w:tcW w:w="46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16</w:t>
            </w:r>
          </w:p>
        </w:tc>
        <w:tc>
          <w:tcPr>
            <w:tcW w:w="71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17</w:t>
            </w:r>
          </w:p>
        </w:tc>
        <w:tc>
          <w:tcPr>
            <w:tcW w:w="464"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18</w:t>
            </w: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19</w:t>
            </w: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20</w:t>
            </w: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21</w:t>
            </w:r>
          </w:p>
        </w:tc>
        <w:tc>
          <w:tcPr>
            <w:tcW w:w="477"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22</w:t>
            </w: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23</w:t>
            </w: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24</w:t>
            </w: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25</w:t>
            </w: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26</w:t>
            </w:r>
          </w:p>
        </w:tc>
        <w:tc>
          <w:tcPr>
            <w:tcW w:w="58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27</w:t>
            </w: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栏</w:t>
            </w:r>
            <w:r>
              <w:rPr>
                <w:rFonts w:eastAsia="仿宋_GB2312"/>
                <w:sz w:val="24"/>
              </w:rPr>
              <w:t>28</w:t>
            </w:r>
          </w:p>
        </w:tc>
      </w:tr>
      <w:tr w:rsidR="00CD287C" w:rsidTr="00F42F24">
        <w:trPr>
          <w:trHeight w:val="306"/>
          <w:jc w:val="center"/>
        </w:trPr>
        <w:tc>
          <w:tcPr>
            <w:tcW w:w="42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3"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728"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6"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6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64"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7"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r>
      <w:tr w:rsidR="00CD287C" w:rsidTr="00F42F24">
        <w:trPr>
          <w:trHeight w:val="294"/>
          <w:jc w:val="center"/>
        </w:trPr>
        <w:tc>
          <w:tcPr>
            <w:tcW w:w="42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3"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728"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6"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6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64"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7"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r>
      <w:tr w:rsidR="00CD287C" w:rsidTr="00F42F24">
        <w:trPr>
          <w:trHeight w:val="294"/>
          <w:jc w:val="center"/>
        </w:trPr>
        <w:tc>
          <w:tcPr>
            <w:tcW w:w="42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3"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728"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6"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6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64"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7"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r>
      <w:tr w:rsidR="00CD287C" w:rsidTr="00F42F24">
        <w:trPr>
          <w:trHeight w:val="294"/>
          <w:jc w:val="center"/>
        </w:trPr>
        <w:tc>
          <w:tcPr>
            <w:tcW w:w="42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w:t>
            </w:r>
          </w:p>
        </w:tc>
        <w:tc>
          <w:tcPr>
            <w:tcW w:w="42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3"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728"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6"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6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64"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7"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r>
      <w:tr w:rsidR="00CD287C" w:rsidTr="00F42F24">
        <w:trPr>
          <w:trHeight w:val="405"/>
          <w:jc w:val="center"/>
        </w:trPr>
        <w:tc>
          <w:tcPr>
            <w:tcW w:w="1265" w:type="dxa"/>
            <w:gridSpan w:val="3"/>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县级行政区合计</w:t>
            </w: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728"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2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6"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62"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64"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7"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581"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p>
        </w:tc>
      </w:tr>
      <w:tr w:rsidR="00CD287C" w:rsidTr="00F42F24">
        <w:trPr>
          <w:trHeight w:val="612"/>
          <w:jc w:val="center"/>
        </w:trPr>
        <w:tc>
          <w:tcPr>
            <w:tcW w:w="13984" w:type="dxa"/>
            <w:gridSpan w:val="28"/>
            <w:tcBorders>
              <w:top w:val="single" w:sz="4" w:space="0" w:color="auto"/>
              <w:left w:val="single" w:sz="4" w:space="0" w:color="auto"/>
              <w:bottom w:val="single" w:sz="4" w:space="0" w:color="auto"/>
              <w:right w:val="single" w:sz="4" w:space="0" w:color="auto"/>
            </w:tcBorders>
            <w:vAlign w:val="center"/>
          </w:tcPr>
          <w:p w:rsidR="00CD287C" w:rsidRDefault="00CD287C" w:rsidP="00F42F24">
            <w:pPr>
              <w:adjustRightInd w:val="0"/>
              <w:snapToGrid w:val="0"/>
              <w:jc w:val="center"/>
              <w:rPr>
                <w:rFonts w:eastAsia="仿宋_GB2312"/>
                <w:sz w:val="24"/>
              </w:rPr>
            </w:pPr>
            <w:r>
              <w:rPr>
                <w:rFonts w:eastAsia="仿宋_GB2312"/>
                <w:sz w:val="24"/>
              </w:rPr>
              <w:t>注：栏</w:t>
            </w:r>
            <w:r>
              <w:rPr>
                <w:rFonts w:eastAsia="仿宋_GB2312"/>
                <w:sz w:val="24"/>
              </w:rPr>
              <w:t>4≥</w:t>
            </w:r>
            <w:r>
              <w:rPr>
                <w:rFonts w:eastAsia="仿宋_GB2312"/>
                <w:sz w:val="24"/>
              </w:rPr>
              <w:t>栏</w:t>
            </w:r>
            <w:r>
              <w:rPr>
                <w:rFonts w:eastAsia="仿宋_GB2312"/>
                <w:sz w:val="24"/>
              </w:rPr>
              <w:t>5</w:t>
            </w:r>
            <w:r>
              <w:rPr>
                <w:rFonts w:eastAsia="仿宋_GB2312"/>
                <w:sz w:val="24"/>
              </w:rPr>
              <w:t>，栏</w:t>
            </w:r>
            <w:r>
              <w:rPr>
                <w:rFonts w:eastAsia="仿宋_GB2312"/>
                <w:sz w:val="24"/>
              </w:rPr>
              <w:t>4≥</w:t>
            </w:r>
            <w:r>
              <w:rPr>
                <w:rFonts w:eastAsia="仿宋_GB2312"/>
                <w:sz w:val="24"/>
              </w:rPr>
              <w:t>栏</w:t>
            </w:r>
            <w:r>
              <w:rPr>
                <w:rFonts w:eastAsia="仿宋_GB2312"/>
                <w:sz w:val="24"/>
              </w:rPr>
              <w:t>6</w:t>
            </w:r>
            <w:r>
              <w:rPr>
                <w:rFonts w:eastAsia="仿宋_GB2312"/>
                <w:sz w:val="24"/>
              </w:rPr>
              <w:t>，栏</w:t>
            </w:r>
            <w:r>
              <w:rPr>
                <w:rFonts w:eastAsia="仿宋_GB2312"/>
                <w:sz w:val="24"/>
              </w:rPr>
              <w:t>4≥</w:t>
            </w:r>
            <w:r>
              <w:rPr>
                <w:rFonts w:eastAsia="仿宋_GB2312"/>
                <w:sz w:val="24"/>
              </w:rPr>
              <w:t>栏</w:t>
            </w:r>
            <w:r>
              <w:rPr>
                <w:rFonts w:eastAsia="仿宋_GB2312"/>
                <w:sz w:val="24"/>
              </w:rPr>
              <w:t>16</w:t>
            </w:r>
            <w:r>
              <w:rPr>
                <w:rFonts w:eastAsia="仿宋_GB2312"/>
                <w:sz w:val="24"/>
              </w:rPr>
              <w:t>，栏</w:t>
            </w:r>
            <w:r>
              <w:rPr>
                <w:rFonts w:eastAsia="仿宋_GB2312"/>
                <w:sz w:val="24"/>
              </w:rPr>
              <w:t>4=</w:t>
            </w:r>
            <w:r>
              <w:rPr>
                <w:rFonts w:eastAsia="仿宋_GB2312"/>
                <w:sz w:val="24"/>
              </w:rPr>
              <w:t>栏</w:t>
            </w:r>
            <w:r>
              <w:rPr>
                <w:rFonts w:eastAsia="仿宋_GB2312"/>
                <w:sz w:val="24"/>
              </w:rPr>
              <w:t>7=</w:t>
            </w:r>
            <w:r>
              <w:rPr>
                <w:rFonts w:eastAsia="仿宋_GB2312"/>
                <w:sz w:val="24"/>
              </w:rPr>
              <w:t>栏</w:t>
            </w:r>
            <w:r>
              <w:rPr>
                <w:rFonts w:eastAsia="仿宋_GB2312"/>
                <w:sz w:val="24"/>
              </w:rPr>
              <w:t>11=</w:t>
            </w:r>
            <w:r>
              <w:rPr>
                <w:rFonts w:eastAsia="仿宋_GB2312"/>
                <w:sz w:val="24"/>
              </w:rPr>
              <w:t>栏</w:t>
            </w:r>
            <w:r>
              <w:rPr>
                <w:rFonts w:eastAsia="仿宋_GB2312"/>
                <w:sz w:val="24"/>
              </w:rPr>
              <w:t>8+</w:t>
            </w:r>
            <w:r>
              <w:rPr>
                <w:rFonts w:eastAsia="仿宋_GB2312"/>
                <w:sz w:val="24"/>
              </w:rPr>
              <w:t>栏</w:t>
            </w:r>
            <w:r>
              <w:rPr>
                <w:rFonts w:eastAsia="仿宋_GB2312"/>
                <w:sz w:val="24"/>
              </w:rPr>
              <w:t>9+</w:t>
            </w:r>
            <w:r>
              <w:rPr>
                <w:rFonts w:eastAsia="仿宋_GB2312"/>
                <w:sz w:val="24"/>
              </w:rPr>
              <w:t>栏</w:t>
            </w:r>
            <w:r>
              <w:rPr>
                <w:rFonts w:eastAsia="仿宋_GB2312"/>
                <w:sz w:val="24"/>
              </w:rPr>
              <w:t>10=</w:t>
            </w:r>
            <w:r>
              <w:rPr>
                <w:rFonts w:eastAsia="仿宋_GB2312"/>
                <w:sz w:val="24"/>
              </w:rPr>
              <w:t>栏</w:t>
            </w:r>
            <w:r>
              <w:rPr>
                <w:rFonts w:eastAsia="仿宋_GB2312"/>
                <w:sz w:val="24"/>
              </w:rPr>
              <w:t>12+</w:t>
            </w:r>
            <w:r>
              <w:rPr>
                <w:rFonts w:eastAsia="仿宋_GB2312"/>
                <w:sz w:val="24"/>
              </w:rPr>
              <w:t>栏</w:t>
            </w:r>
            <w:r>
              <w:rPr>
                <w:rFonts w:eastAsia="仿宋_GB2312"/>
                <w:sz w:val="24"/>
              </w:rPr>
              <w:t>13+</w:t>
            </w:r>
            <w:r>
              <w:rPr>
                <w:rFonts w:eastAsia="仿宋_GB2312"/>
                <w:sz w:val="24"/>
              </w:rPr>
              <w:t>栏</w:t>
            </w:r>
            <w:r>
              <w:rPr>
                <w:rFonts w:eastAsia="仿宋_GB2312"/>
                <w:sz w:val="24"/>
              </w:rPr>
              <w:t>14+</w:t>
            </w:r>
            <w:r>
              <w:rPr>
                <w:rFonts w:eastAsia="仿宋_GB2312"/>
                <w:sz w:val="24"/>
              </w:rPr>
              <w:t>栏</w:t>
            </w:r>
            <w:r>
              <w:rPr>
                <w:rFonts w:eastAsia="仿宋_GB2312"/>
                <w:sz w:val="24"/>
              </w:rPr>
              <w:t>15</w:t>
            </w:r>
            <w:r>
              <w:rPr>
                <w:rFonts w:eastAsia="仿宋_GB2312"/>
                <w:sz w:val="24"/>
              </w:rPr>
              <w:t>，栏</w:t>
            </w:r>
            <w:r>
              <w:rPr>
                <w:rFonts w:eastAsia="仿宋_GB2312"/>
                <w:sz w:val="24"/>
              </w:rPr>
              <w:t>16≥</w:t>
            </w:r>
            <w:r>
              <w:rPr>
                <w:rFonts w:eastAsia="仿宋_GB2312"/>
                <w:sz w:val="24"/>
              </w:rPr>
              <w:t>栏</w:t>
            </w:r>
            <w:r>
              <w:rPr>
                <w:rFonts w:eastAsia="仿宋_GB2312"/>
                <w:sz w:val="24"/>
              </w:rPr>
              <w:t>17</w:t>
            </w:r>
            <w:r>
              <w:rPr>
                <w:rFonts w:eastAsia="仿宋_GB2312"/>
                <w:sz w:val="24"/>
              </w:rPr>
              <w:t>，栏</w:t>
            </w:r>
            <w:r>
              <w:rPr>
                <w:rFonts w:eastAsia="仿宋_GB2312"/>
                <w:sz w:val="24"/>
              </w:rPr>
              <w:t>16≥</w:t>
            </w:r>
            <w:r>
              <w:rPr>
                <w:rFonts w:eastAsia="仿宋_GB2312"/>
                <w:sz w:val="24"/>
              </w:rPr>
              <w:t>栏</w:t>
            </w:r>
            <w:r>
              <w:rPr>
                <w:rFonts w:eastAsia="仿宋_GB2312"/>
                <w:sz w:val="24"/>
              </w:rPr>
              <w:t>18</w:t>
            </w:r>
            <w:r>
              <w:rPr>
                <w:rFonts w:eastAsia="仿宋_GB2312"/>
                <w:sz w:val="24"/>
              </w:rPr>
              <w:t>，</w:t>
            </w:r>
          </w:p>
          <w:p w:rsidR="00CD287C" w:rsidRDefault="00CD287C" w:rsidP="00F42F24">
            <w:pPr>
              <w:adjustRightInd w:val="0"/>
              <w:snapToGrid w:val="0"/>
              <w:ind w:firstLineChars="250" w:firstLine="600"/>
              <w:rPr>
                <w:rFonts w:eastAsia="仿宋_GB2312"/>
                <w:sz w:val="24"/>
                <w:szCs w:val="36"/>
              </w:rPr>
            </w:pPr>
            <w:r>
              <w:rPr>
                <w:rFonts w:eastAsia="仿宋_GB2312"/>
                <w:sz w:val="24"/>
              </w:rPr>
              <w:t>栏</w:t>
            </w:r>
            <w:r>
              <w:rPr>
                <w:rFonts w:eastAsia="仿宋_GB2312"/>
                <w:sz w:val="24"/>
              </w:rPr>
              <w:t>16=</w:t>
            </w:r>
            <w:r>
              <w:rPr>
                <w:rFonts w:eastAsia="仿宋_GB2312"/>
                <w:sz w:val="24"/>
              </w:rPr>
              <w:t>栏</w:t>
            </w:r>
            <w:r>
              <w:rPr>
                <w:rFonts w:eastAsia="仿宋_GB2312"/>
                <w:sz w:val="24"/>
              </w:rPr>
              <w:t>19=</w:t>
            </w:r>
            <w:r>
              <w:rPr>
                <w:rFonts w:eastAsia="仿宋_GB2312"/>
                <w:sz w:val="24"/>
              </w:rPr>
              <w:t>栏</w:t>
            </w:r>
            <w:r>
              <w:rPr>
                <w:rFonts w:eastAsia="仿宋_GB2312"/>
                <w:sz w:val="24"/>
              </w:rPr>
              <w:t>23=</w:t>
            </w:r>
            <w:r>
              <w:rPr>
                <w:rFonts w:eastAsia="仿宋_GB2312"/>
                <w:sz w:val="24"/>
              </w:rPr>
              <w:t>栏</w:t>
            </w:r>
            <w:r>
              <w:rPr>
                <w:rFonts w:eastAsia="仿宋_GB2312"/>
                <w:sz w:val="24"/>
              </w:rPr>
              <w:t>20+</w:t>
            </w:r>
            <w:r>
              <w:rPr>
                <w:rFonts w:eastAsia="仿宋_GB2312"/>
                <w:sz w:val="24"/>
              </w:rPr>
              <w:t>栏</w:t>
            </w:r>
            <w:r>
              <w:rPr>
                <w:rFonts w:eastAsia="仿宋_GB2312"/>
                <w:sz w:val="24"/>
              </w:rPr>
              <w:t>21+</w:t>
            </w:r>
            <w:r>
              <w:rPr>
                <w:rFonts w:eastAsia="仿宋_GB2312"/>
                <w:sz w:val="24"/>
              </w:rPr>
              <w:t>栏</w:t>
            </w:r>
            <w:r>
              <w:rPr>
                <w:rFonts w:eastAsia="仿宋_GB2312"/>
                <w:sz w:val="24"/>
              </w:rPr>
              <w:t>22=</w:t>
            </w:r>
            <w:r>
              <w:rPr>
                <w:rFonts w:eastAsia="仿宋_GB2312"/>
                <w:sz w:val="24"/>
              </w:rPr>
              <w:t>栏</w:t>
            </w:r>
            <w:r>
              <w:rPr>
                <w:rFonts w:eastAsia="仿宋_GB2312"/>
                <w:sz w:val="24"/>
              </w:rPr>
              <w:t>24+</w:t>
            </w:r>
            <w:r>
              <w:rPr>
                <w:rFonts w:eastAsia="仿宋_GB2312"/>
                <w:sz w:val="24"/>
              </w:rPr>
              <w:t>栏</w:t>
            </w:r>
            <w:r>
              <w:rPr>
                <w:rFonts w:eastAsia="仿宋_GB2312"/>
                <w:sz w:val="24"/>
              </w:rPr>
              <w:t>25+</w:t>
            </w:r>
            <w:r>
              <w:rPr>
                <w:rFonts w:eastAsia="仿宋_GB2312"/>
                <w:sz w:val="24"/>
              </w:rPr>
              <w:t>栏</w:t>
            </w:r>
            <w:r>
              <w:rPr>
                <w:rFonts w:eastAsia="仿宋_GB2312"/>
                <w:sz w:val="24"/>
              </w:rPr>
              <w:t>26+</w:t>
            </w:r>
            <w:r>
              <w:rPr>
                <w:rFonts w:eastAsia="仿宋_GB2312"/>
                <w:sz w:val="24"/>
              </w:rPr>
              <w:t>栏</w:t>
            </w:r>
            <w:r>
              <w:rPr>
                <w:rFonts w:eastAsia="仿宋_GB2312"/>
                <w:sz w:val="24"/>
              </w:rPr>
              <w:t>27</w:t>
            </w:r>
            <w:r>
              <w:rPr>
                <w:rFonts w:eastAsia="仿宋_GB2312"/>
                <w:sz w:val="24"/>
              </w:rPr>
              <w:t>。</w:t>
            </w:r>
          </w:p>
        </w:tc>
      </w:tr>
    </w:tbl>
    <w:p w:rsidR="00A938C9" w:rsidRPr="00CD287C" w:rsidRDefault="00CD287C" w:rsidP="00CD287C">
      <w:pPr>
        <w:ind w:firstLineChars="50" w:firstLine="120"/>
        <w:jc w:val="left"/>
        <w:rPr>
          <w:rFonts w:ascii="仿宋_GB2312" w:eastAsia="仿宋_GB2312"/>
          <w:sz w:val="24"/>
          <w:szCs w:val="24"/>
        </w:rPr>
      </w:pPr>
      <w:r>
        <w:rPr>
          <w:rFonts w:ascii="仿宋_GB2312" w:eastAsia="仿宋_GB2312" w:hint="eastAsia"/>
          <w:sz w:val="24"/>
          <w:szCs w:val="24"/>
        </w:rPr>
        <w:t>审核人：          审核日期：     年   月  日                    填表人：         填表日期：     年   月  日</w:t>
      </w:r>
    </w:p>
    <w:sectPr w:rsidR="00A938C9" w:rsidRPr="00CD287C" w:rsidSect="00876326">
      <w:pgSz w:w="16838" w:h="11906" w:orient="landscape"/>
      <w:pgMar w:top="1797" w:right="1440" w:bottom="1797"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8C9" w:rsidRDefault="00A938C9" w:rsidP="00CD287C">
      <w:pPr>
        <w:ind w:firstLine="560"/>
      </w:pPr>
      <w:r>
        <w:separator/>
      </w:r>
    </w:p>
  </w:endnote>
  <w:endnote w:type="continuationSeparator" w:id="1">
    <w:p w:rsidR="00A938C9" w:rsidRDefault="00A938C9" w:rsidP="00CD287C">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8C9" w:rsidRDefault="00A938C9" w:rsidP="00CD287C">
      <w:pPr>
        <w:ind w:firstLine="560"/>
      </w:pPr>
      <w:r>
        <w:separator/>
      </w:r>
    </w:p>
  </w:footnote>
  <w:footnote w:type="continuationSeparator" w:id="1">
    <w:p w:rsidR="00A938C9" w:rsidRDefault="00A938C9" w:rsidP="00CD287C">
      <w:pPr>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287C"/>
    <w:rsid w:val="00A938C9"/>
    <w:rsid w:val="00CD28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28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D287C"/>
    <w:rPr>
      <w:sz w:val="18"/>
      <w:szCs w:val="18"/>
    </w:rPr>
  </w:style>
  <w:style w:type="paragraph" w:styleId="a4">
    <w:name w:val="footer"/>
    <w:basedOn w:val="a"/>
    <w:link w:val="Char0"/>
    <w:uiPriority w:val="99"/>
    <w:semiHidden/>
    <w:unhideWhenUsed/>
    <w:rsid w:val="00CD28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D287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877</Words>
  <Characters>5005</Characters>
  <Application>Microsoft Office Word</Application>
  <DocSecurity>0</DocSecurity>
  <Lines>41</Lines>
  <Paragraphs>11</Paragraphs>
  <ScaleCrop>false</ScaleCrop>
  <Company>Microsoft</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2020-03-18T01:31:00Z</dcterms:created>
  <dcterms:modified xsi:type="dcterms:W3CDTF">2020-03-18T01:32:00Z</dcterms:modified>
</cp:coreProperties>
</file>